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CAA9" w14:textId="69A4D49D" w:rsidR="00880AC8" w:rsidRPr="008E3149" w:rsidRDefault="00880AC8" w:rsidP="00880AC8">
      <w:pPr>
        <w:keepLines/>
        <w:spacing w:after="0" w:line="360" w:lineRule="auto"/>
        <w:ind w:right="1701"/>
        <w:jc w:val="both"/>
        <w:rPr>
          <w:rFonts w:ascii="Arial" w:hAnsi="Arial"/>
          <w:b/>
          <w:sz w:val="24"/>
          <w:szCs w:val="28"/>
        </w:rPr>
      </w:pPr>
      <w:bookmarkStart w:id="0" w:name="_Hlk142042717"/>
      <w:r>
        <w:rPr>
          <w:rFonts w:ascii="Arial" w:hAnsi="Arial"/>
          <w:b/>
          <w:sz w:val="24"/>
        </w:rPr>
        <w:t>KRAIBURG TPE répond à la demande de produits bio et fournit des Bio-</w:t>
      </w:r>
      <w:proofErr w:type="spellStart"/>
      <w:r>
        <w:rPr>
          <w:rFonts w:ascii="Arial" w:hAnsi="Arial"/>
          <w:b/>
          <w:sz w:val="24"/>
        </w:rPr>
        <w:t>based</w:t>
      </w:r>
      <w:proofErr w:type="spellEnd"/>
      <w:r>
        <w:rPr>
          <w:rFonts w:ascii="Arial" w:hAnsi="Arial"/>
          <w:b/>
          <w:sz w:val="24"/>
        </w:rPr>
        <w:t xml:space="preserve"> TPE comportant des proportions variables de matières premières renouvelables.</w:t>
      </w:r>
    </w:p>
    <w:p w14:paraId="6C7F3C53" w14:textId="77777777" w:rsidR="00880AC8" w:rsidRDefault="00880AC8" w:rsidP="00E45449">
      <w:pPr>
        <w:keepLines/>
        <w:spacing w:after="0" w:line="360" w:lineRule="auto"/>
        <w:ind w:right="1701"/>
        <w:jc w:val="both"/>
        <w:rPr>
          <w:rFonts w:ascii="Arial" w:hAnsi="Arial" w:cs="Arial"/>
          <w:b/>
          <w:sz w:val="20"/>
        </w:rPr>
      </w:pPr>
    </w:p>
    <w:p w14:paraId="3D34156F" w14:textId="32593493" w:rsidR="00D9749E" w:rsidRDefault="00880AC8" w:rsidP="00B71FAC">
      <w:pPr>
        <w:keepLines/>
        <w:spacing w:after="0" w:line="360" w:lineRule="auto"/>
        <w:ind w:right="1701"/>
        <w:jc w:val="both"/>
        <w:rPr>
          <w:rFonts w:ascii="Arial" w:hAnsi="Arial"/>
          <w:b/>
          <w:sz w:val="20"/>
        </w:rPr>
      </w:pPr>
      <w:r>
        <w:rPr>
          <w:rFonts w:ascii="Arial" w:hAnsi="Arial"/>
          <w:b/>
          <w:sz w:val="20"/>
        </w:rPr>
        <w:t>KRAIBURG TPE présente des élastomères thermoplastiques (TPE) comportant des proportions variables de matières premières renouvelables. Avec le lancement de ces nouveaux compounds, le producteur mondial de TPE élargit son offre THERMOLAST</w:t>
      </w:r>
      <w:r>
        <w:rPr>
          <w:rFonts w:ascii="Arial" w:hAnsi="Arial"/>
          <w:b/>
          <w:sz w:val="20"/>
          <w:vertAlign w:val="superscript"/>
        </w:rPr>
        <w:t>®</w:t>
      </w:r>
      <w:r>
        <w:rPr>
          <w:rFonts w:ascii="Arial" w:hAnsi="Arial"/>
          <w:b/>
          <w:sz w:val="20"/>
        </w:rPr>
        <w:t> R et propose désormais des solutions durables avec toute une gamme de produits issus de sources renouvelables. Par ailleurs, les Bio-</w:t>
      </w:r>
      <w:proofErr w:type="spellStart"/>
      <w:r>
        <w:rPr>
          <w:rFonts w:ascii="Arial" w:hAnsi="Arial"/>
          <w:b/>
          <w:sz w:val="20"/>
        </w:rPr>
        <w:t>based</w:t>
      </w:r>
      <w:proofErr w:type="spellEnd"/>
      <w:r>
        <w:rPr>
          <w:rFonts w:ascii="Arial" w:hAnsi="Arial"/>
          <w:b/>
          <w:sz w:val="20"/>
        </w:rPr>
        <w:t xml:space="preserve"> TPE présentent une empreinte carbone (ECP) plus faible que celle des solutions alternatives habituelles qui ne sont pas basées sur des matières premières renouvelables.</w:t>
      </w:r>
    </w:p>
    <w:p w14:paraId="003C61A2" w14:textId="77777777" w:rsidR="00880AC8" w:rsidRPr="00166485" w:rsidRDefault="00880AC8" w:rsidP="00B71FAC">
      <w:pPr>
        <w:keepLines/>
        <w:spacing w:after="0" w:line="360" w:lineRule="auto"/>
        <w:ind w:right="1701"/>
        <w:jc w:val="both"/>
        <w:rPr>
          <w:rFonts w:ascii="Arial" w:hAnsi="Arial" w:cs="Arial"/>
          <w:sz w:val="20"/>
        </w:rPr>
      </w:pPr>
    </w:p>
    <w:bookmarkEnd w:id="0"/>
    <w:p w14:paraId="3D73B1F9" w14:textId="73E7BE1F" w:rsidR="00880AC8" w:rsidRPr="008E3149" w:rsidRDefault="00E76710" w:rsidP="00880AC8">
      <w:pPr>
        <w:keepLines/>
        <w:spacing w:after="0" w:line="360" w:lineRule="auto"/>
        <w:ind w:right="1701"/>
        <w:jc w:val="both"/>
        <w:rPr>
          <w:rFonts w:ascii="Arial" w:hAnsi="Arial"/>
          <w:bCs/>
          <w:sz w:val="20"/>
        </w:rPr>
      </w:pPr>
      <w:proofErr w:type="spellStart"/>
      <w:r>
        <w:rPr>
          <w:rFonts w:ascii="Arial" w:hAnsi="Arial"/>
          <w:sz w:val="20"/>
        </w:rPr>
        <w:t>Waldkraiburg</w:t>
      </w:r>
      <w:proofErr w:type="spellEnd"/>
      <w:r>
        <w:rPr>
          <w:rFonts w:ascii="Arial" w:hAnsi="Arial"/>
          <w:sz w:val="20"/>
        </w:rPr>
        <w:t>, le 17 octobre 2023 – La durabilité est un aspect central dans la phase de conception car elle doit être prise en compte dès le début du projet pour qu’elle puisse contribuer à sa réussite à long terme. Les clientes et les clients de KRAIBURG TPE ont déjà accès à des compounds plus durables à base de matières recyclées post-consommation ou postindustrielles, en particulier dans les secteurs de l’automobile et des biens de consommation. KRAIBURG TPE complète maintenant son offre pour des solutions plus durables et propose des Bio-</w:t>
      </w:r>
      <w:proofErr w:type="spellStart"/>
      <w:r>
        <w:rPr>
          <w:rFonts w:ascii="Arial" w:hAnsi="Arial"/>
          <w:sz w:val="20"/>
        </w:rPr>
        <w:t>based</w:t>
      </w:r>
      <w:proofErr w:type="spellEnd"/>
      <w:r>
        <w:rPr>
          <w:rFonts w:ascii="Arial" w:hAnsi="Arial"/>
          <w:sz w:val="20"/>
        </w:rPr>
        <w:t xml:space="preserve"> TPE produits à partir de matières premières qui soutiennent le passage des compounds produits à partir de matières fossiles vers des alternatives basées sur des matières premières renouvelables, et rendent cette transition plus intéressante. </w:t>
      </w:r>
    </w:p>
    <w:p w14:paraId="1A7F6C22" w14:textId="2C192E4B" w:rsidR="00880AC8" w:rsidRPr="008E3149" w:rsidRDefault="00880AC8" w:rsidP="00880AC8">
      <w:pPr>
        <w:keepLines/>
        <w:spacing w:after="0" w:line="360" w:lineRule="auto"/>
        <w:ind w:right="1701"/>
        <w:jc w:val="both"/>
        <w:rPr>
          <w:rFonts w:ascii="Arial" w:hAnsi="Arial"/>
          <w:bCs/>
          <w:sz w:val="20"/>
        </w:rPr>
      </w:pPr>
      <w:r>
        <w:rPr>
          <w:rFonts w:ascii="Arial" w:hAnsi="Arial"/>
          <w:sz w:val="20"/>
        </w:rPr>
        <w:lastRenderedPageBreak/>
        <w:t>Lors de l’évaluation des nouvelles matières premières pour les Bio-</w:t>
      </w:r>
      <w:proofErr w:type="spellStart"/>
      <w:r>
        <w:rPr>
          <w:rFonts w:ascii="Arial" w:hAnsi="Arial"/>
          <w:sz w:val="20"/>
        </w:rPr>
        <w:t>based</w:t>
      </w:r>
      <w:proofErr w:type="spellEnd"/>
      <w:r>
        <w:rPr>
          <w:rFonts w:ascii="Arial" w:hAnsi="Arial"/>
          <w:sz w:val="20"/>
        </w:rPr>
        <w:t xml:space="preserve"> TPE, KRAIBURG TPE se concentre sur des matériaux qui n’entrent pas en concurrence avec la production de denrées alimentaires. Ces matières peuvent être des sous-produits ou des déchets de la production agroalimentaire et ne pourraient pas servir d’aliments, même après leur transformation. Pour répondre à ces exigences élevées qu’elle s’impose, l’entreprise mène une évaluation critique de l’origine des matières premières. À travers une étroite coopération avec les fournisseurs, KRAIBURG TPE s’assure d’une capacité de livraison pour ses composants recyclés et biosourcés comparable à celle des polymères de base conventionnels.</w:t>
      </w:r>
    </w:p>
    <w:p w14:paraId="2564238D" w14:textId="77777777" w:rsidR="00880AC8" w:rsidRPr="008E3149" w:rsidRDefault="00880AC8" w:rsidP="00880AC8">
      <w:pPr>
        <w:keepLines/>
        <w:spacing w:after="0" w:line="360" w:lineRule="auto"/>
        <w:ind w:right="1701"/>
        <w:jc w:val="both"/>
        <w:rPr>
          <w:rFonts w:ascii="Arial" w:hAnsi="Arial"/>
          <w:bCs/>
          <w:sz w:val="20"/>
        </w:rPr>
      </w:pPr>
    </w:p>
    <w:p w14:paraId="0DB4B1D7" w14:textId="19C979B4" w:rsidR="00880AC8" w:rsidRPr="008E3149" w:rsidRDefault="00880AC8" w:rsidP="00880AC8">
      <w:pPr>
        <w:keepLines/>
        <w:spacing w:after="0" w:line="360" w:lineRule="auto"/>
        <w:ind w:right="1701"/>
        <w:jc w:val="both"/>
        <w:rPr>
          <w:rFonts w:ascii="Arial" w:hAnsi="Arial"/>
          <w:bCs/>
          <w:sz w:val="20"/>
        </w:rPr>
      </w:pPr>
      <w:r>
        <w:rPr>
          <w:rFonts w:ascii="Arial" w:hAnsi="Arial"/>
          <w:sz w:val="20"/>
        </w:rPr>
        <w:t>Par rapport aux matériaux d’origine fossile, l’utilisation des Bio-</w:t>
      </w:r>
      <w:proofErr w:type="spellStart"/>
      <w:r>
        <w:rPr>
          <w:rFonts w:ascii="Arial" w:hAnsi="Arial"/>
          <w:sz w:val="20"/>
        </w:rPr>
        <w:t>based</w:t>
      </w:r>
      <w:proofErr w:type="spellEnd"/>
      <w:r>
        <w:rPr>
          <w:rFonts w:ascii="Arial" w:hAnsi="Arial"/>
          <w:sz w:val="20"/>
        </w:rPr>
        <w:t xml:space="preserve"> TPE peut entraîner une réduction de l’empreinte carbone (ECP) allant jusqu’à 50%. Celle-ci se rapporte aux émissions totales de gaz à effet de serre, en particulier de dioxyde de carbone (CO</w:t>
      </w:r>
      <w:r>
        <w:rPr>
          <w:rFonts w:ascii="Arial" w:hAnsi="Arial"/>
          <w:sz w:val="20"/>
          <w:vertAlign w:val="subscript"/>
        </w:rPr>
        <w:t>2</w:t>
      </w:r>
      <w:r>
        <w:rPr>
          <w:rFonts w:ascii="Arial" w:hAnsi="Arial"/>
          <w:sz w:val="20"/>
        </w:rPr>
        <w:t xml:space="preserve">), liées à la fabrication, l’utilisation et l’élimination d’un produit ou d’un service spécifique. La transparence et la connaissance de l’ECP permettent aux </w:t>
      </w:r>
      <w:r>
        <w:rPr>
          <w:rStyle w:val="cf01"/>
          <w:rFonts w:ascii="Arial" w:hAnsi="Arial"/>
          <w:sz w:val="20"/>
        </w:rPr>
        <w:t>clients finaux et aux transformateurs de prendre des décisions éclairées sur le choix des matériaux pour fabriquer et commercialiser des produits plus durables.</w:t>
      </w:r>
      <w:r>
        <w:rPr>
          <w:rFonts w:ascii="Arial" w:hAnsi="Arial"/>
          <w:sz w:val="20"/>
        </w:rPr>
        <w:t xml:space="preserve"> À l’heure actuelle, cette valeur est intéressante sur tous les marchés où il y a une demande pour des matériaux présentant une réduction des émissions de CO</w:t>
      </w:r>
      <w:r>
        <w:rPr>
          <w:rFonts w:ascii="Arial" w:hAnsi="Arial"/>
          <w:sz w:val="20"/>
          <w:vertAlign w:val="subscript"/>
        </w:rPr>
        <w:t>2</w:t>
      </w:r>
      <w:r>
        <w:rPr>
          <w:rFonts w:ascii="Arial" w:hAnsi="Arial"/>
          <w:sz w:val="20"/>
        </w:rPr>
        <w:t>. Par l’utilisation de matières premières renouvelables lors de la production de ses Bio-</w:t>
      </w:r>
      <w:proofErr w:type="spellStart"/>
      <w:r>
        <w:rPr>
          <w:rFonts w:ascii="Arial" w:hAnsi="Arial"/>
          <w:sz w:val="20"/>
        </w:rPr>
        <w:t>based</w:t>
      </w:r>
      <w:proofErr w:type="spellEnd"/>
      <w:r>
        <w:rPr>
          <w:rFonts w:ascii="Arial" w:hAnsi="Arial"/>
          <w:sz w:val="20"/>
        </w:rPr>
        <w:t xml:space="preserve"> TPE, KRAIBURG TPE apporte une contribution concrète à la réalisation des objectifs de durabilité de ses clients. </w:t>
      </w:r>
    </w:p>
    <w:p w14:paraId="681741DF" w14:textId="77777777" w:rsidR="00880AC8" w:rsidRPr="008E3149" w:rsidRDefault="00880AC8" w:rsidP="00880AC8">
      <w:pPr>
        <w:keepLines/>
        <w:spacing w:after="0" w:line="360" w:lineRule="auto"/>
        <w:ind w:right="1701"/>
        <w:jc w:val="both"/>
        <w:rPr>
          <w:rFonts w:ascii="Arial" w:hAnsi="Arial"/>
          <w:bCs/>
          <w:sz w:val="20"/>
        </w:rPr>
      </w:pPr>
    </w:p>
    <w:p w14:paraId="5F46EDC3" w14:textId="2295DCF3" w:rsidR="00880AC8" w:rsidRDefault="00880AC8" w:rsidP="00880AC8">
      <w:pPr>
        <w:keepLines/>
        <w:spacing w:after="0" w:line="360" w:lineRule="auto"/>
        <w:ind w:right="1701"/>
        <w:jc w:val="both"/>
        <w:rPr>
          <w:rFonts w:ascii="Arial" w:hAnsi="Arial" w:cs="Arial"/>
          <w:bCs/>
          <w:sz w:val="20"/>
          <w:szCs w:val="20"/>
        </w:rPr>
      </w:pPr>
      <w:bookmarkStart w:id="1" w:name="_Hlk141091776"/>
      <w:r>
        <w:rPr>
          <w:rFonts w:ascii="Arial" w:hAnsi="Arial"/>
          <w:sz w:val="20"/>
        </w:rPr>
        <w:lastRenderedPageBreak/>
        <w:t>Du point de vue de leur odeur neutre, du toucher, du contact et de l’adhérence, les Bio-</w:t>
      </w:r>
      <w:proofErr w:type="spellStart"/>
      <w:r>
        <w:rPr>
          <w:rFonts w:ascii="Arial" w:hAnsi="Arial"/>
          <w:sz w:val="20"/>
        </w:rPr>
        <w:t>based</w:t>
      </w:r>
      <w:proofErr w:type="spellEnd"/>
      <w:r>
        <w:rPr>
          <w:rFonts w:ascii="Arial" w:hAnsi="Arial"/>
          <w:sz w:val="20"/>
        </w:rPr>
        <w:t xml:space="preserve"> TPE présentent des caractéristiques très comparables à celles des TPE d’origine fossile. Les nouveaux produits incluent des solutions telles que des variantes d’adhérence sur PP, ABS/PC et PA dans une plage de dureté Shore A allant de 30 à 85 Shore. Certains compounds présentent une part bio supérieure à 60%. </w:t>
      </w:r>
      <w:r>
        <w:rPr>
          <w:rStyle w:val="cf01"/>
          <w:rFonts w:ascii="Arial" w:hAnsi="Arial"/>
          <w:sz w:val="20"/>
        </w:rPr>
        <w:t>Il est possible de teinter aussi bien les versions adhérant sur le PP que celles pour les composés polaires</w:t>
      </w:r>
      <w:r>
        <w:rPr>
          <w:rFonts w:ascii="Arial" w:hAnsi="Arial"/>
          <w:sz w:val="20"/>
        </w:rPr>
        <w:t xml:space="preserve">. Les matériaux ont été testés pour les procédés d’extrusion et de moulage par injection et ont montré des propriétés comparables à celles des TPE d’origine fossile. </w:t>
      </w:r>
    </w:p>
    <w:p w14:paraId="43B077AB" w14:textId="77777777" w:rsidR="00A00F10" w:rsidRPr="008E3149" w:rsidRDefault="00A00F10" w:rsidP="00880AC8">
      <w:pPr>
        <w:keepLines/>
        <w:spacing w:after="0" w:line="360" w:lineRule="auto"/>
        <w:ind w:right="1701"/>
        <w:jc w:val="both"/>
        <w:rPr>
          <w:rFonts w:ascii="Arial" w:hAnsi="Arial" w:cs="Arial"/>
          <w:bCs/>
          <w:sz w:val="20"/>
          <w:szCs w:val="20"/>
        </w:rPr>
      </w:pPr>
    </w:p>
    <w:p w14:paraId="095EAA7D" w14:textId="77777777" w:rsidR="000215B5" w:rsidRPr="008E3149" w:rsidRDefault="000215B5" w:rsidP="000215B5">
      <w:pPr>
        <w:keepLines/>
        <w:spacing w:after="0" w:line="360" w:lineRule="auto"/>
        <w:ind w:right="1701"/>
        <w:jc w:val="both"/>
        <w:rPr>
          <w:rFonts w:ascii="Arial" w:hAnsi="Arial" w:cs="Arial"/>
          <w:bCs/>
          <w:sz w:val="20"/>
          <w:szCs w:val="20"/>
        </w:rPr>
      </w:pPr>
    </w:p>
    <w:tbl>
      <w:tblPr>
        <w:tblStyle w:val="Tabellenraster"/>
        <w:tblW w:w="6236"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tblGrid>
      <w:tr w:rsidR="000215B5" w:rsidRPr="00B0608B" w14:paraId="79031FE5" w14:textId="77777777" w:rsidTr="00D26729">
        <w:trPr>
          <w:trHeight w:val="624"/>
        </w:trPr>
        <w:tc>
          <w:tcPr>
            <w:tcW w:w="2268" w:type="dxa"/>
            <w:shd w:val="clear" w:color="auto" w:fill="365F91" w:themeFill="accent1" w:themeFillShade="BF"/>
            <w:vAlign w:val="center"/>
          </w:tcPr>
          <w:p w14:paraId="0FBF2859" w14:textId="77777777" w:rsidR="000215B5" w:rsidRPr="008E3149" w:rsidRDefault="000215B5" w:rsidP="00D26729">
            <w:pPr>
              <w:keepNext/>
              <w:keepLines/>
              <w:rPr>
                <w:rFonts w:ascii="Arial" w:hAnsi="Arial" w:cs="Arial"/>
                <w:color w:val="FFFFFF" w:themeColor="background1"/>
                <w:sz w:val="20"/>
                <w:szCs w:val="20"/>
              </w:rPr>
            </w:pPr>
          </w:p>
        </w:tc>
        <w:tc>
          <w:tcPr>
            <w:tcW w:w="992" w:type="dxa"/>
            <w:shd w:val="clear" w:color="auto" w:fill="365F91" w:themeFill="accent1" w:themeFillShade="BF"/>
            <w:vAlign w:val="center"/>
          </w:tcPr>
          <w:p w14:paraId="337B94E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Virgin</w:t>
            </w:r>
          </w:p>
        </w:tc>
        <w:tc>
          <w:tcPr>
            <w:tcW w:w="992" w:type="dxa"/>
            <w:shd w:val="clear" w:color="auto" w:fill="365F91" w:themeFill="accent1" w:themeFillShade="BF"/>
            <w:vAlign w:val="center"/>
          </w:tcPr>
          <w:p w14:paraId="270B5E9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Bio-</w:t>
            </w:r>
            <w:proofErr w:type="spellStart"/>
            <w:r>
              <w:rPr>
                <w:rFonts w:ascii="Arial" w:hAnsi="Arial"/>
                <w:color w:val="FFFFFF" w:themeColor="background1"/>
                <w:sz w:val="20"/>
              </w:rPr>
              <w:t>based</w:t>
            </w:r>
            <w:proofErr w:type="spellEnd"/>
          </w:p>
        </w:tc>
        <w:tc>
          <w:tcPr>
            <w:tcW w:w="992" w:type="dxa"/>
            <w:shd w:val="clear" w:color="auto" w:fill="365F91" w:themeFill="accent1" w:themeFillShade="BF"/>
            <w:vAlign w:val="center"/>
          </w:tcPr>
          <w:p w14:paraId="7A37D0EA"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Virgin</w:t>
            </w:r>
          </w:p>
        </w:tc>
        <w:tc>
          <w:tcPr>
            <w:tcW w:w="992" w:type="dxa"/>
            <w:shd w:val="clear" w:color="auto" w:fill="365F91" w:themeFill="accent1" w:themeFillShade="BF"/>
            <w:vAlign w:val="center"/>
          </w:tcPr>
          <w:p w14:paraId="4A56A4F5"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Bio-</w:t>
            </w:r>
            <w:proofErr w:type="spellStart"/>
            <w:r>
              <w:rPr>
                <w:rFonts w:ascii="Arial" w:hAnsi="Arial"/>
                <w:color w:val="FFFFFF" w:themeColor="background1"/>
                <w:sz w:val="20"/>
              </w:rPr>
              <w:t>Based</w:t>
            </w:r>
            <w:proofErr w:type="spellEnd"/>
          </w:p>
        </w:tc>
      </w:tr>
      <w:tr w:rsidR="000215B5" w:rsidRPr="00B0608B" w14:paraId="150A2783" w14:textId="77777777" w:rsidTr="000215B5">
        <w:trPr>
          <w:trHeight w:val="425"/>
        </w:trPr>
        <w:tc>
          <w:tcPr>
            <w:tcW w:w="2268" w:type="dxa"/>
            <w:vAlign w:val="center"/>
          </w:tcPr>
          <w:p w14:paraId="5892778F" w14:textId="67BF4524" w:rsidR="000215B5" w:rsidRDefault="000215B5" w:rsidP="000215B5">
            <w:pPr>
              <w:keepNext/>
              <w:keepLines/>
              <w:rPr>
                <w:rFonts w:ascii="Arial" w:hAnsi="Arial" w:cs="Arial"/>
                <w:bCs/>
                <w:sz w:val="20"/>
                <w:szCs w:val="20"/>
              </w:rPr>
            </w:pPr>
            <w:r>
              <w:rPr>
                <w:rFonts w:ascii="Arial" w:hAnsi="Arial"/>
                <w:sz w:val="20"/>
              </w:rPr>
              <w:t>Part bio</w:t>
            </w:r>
          </w:p>
        </w:tc>
        <w:tc>
          <w:tcPr>
            <w:tcW w:w="992" w:type="dxa"/>
            <w:shd w:val="clear" w:color="auto" w:fill="365F91" w:themeFill="accent1" w:themeFillShade="BF"/>
            <w:vAlign w:val="center"/>
          </w:tcPr>
          <w:p w14:paraId="06019094" w14:textId="7162F8F1" w:rsidR="000215B5" w:rsidRDefault="000215B5" w:rsidP="000215B5">
            <w:pPr>
              <w:keepNext/>
              <w:keepLines/>
              <w:jc w:val="center"/>
              <w:rPr>
                <w:rFonts w:ascii="Arial" w:hAnsi="Arial" w:cs="Arial"/>
                <w:sz w:val="20"/>
                <w:szCs w:val="20"/>
              </w:rPr>
            </w:pPr>
          </w:p>
        </w:tc>
        <w:tc>
          <w:tcPr>
            <w:tcW w:w="992"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sz w:val="20"/>
              </w:rPr>
              <w:t>50%</w:t>
            </w:r>
          </w:p>
        </w:tc>
        <w:tc>
          <w:tcPr>
            <w:tcW w:w="992" w:type="dxa"/>
            <w:shd w:val="clear" w:color="auto" w:fill="365F91" w:themeFill="accent1" w:themeFillShade="BF"/>
            <w:vAlign w:val="center"/>
          </w:tcPr>
          <w:p w14:paraId="73E57B5B" w14:textId="77777777" w:rsidR="000215B5" w:rsidRPr="006F4BC8" w:rsidRDefault="000215B5" w:rsidP="000215B5">
            <w:pPr>
              <w:keepNext/>
              <w:keepLines/>
              <w:jc w:val="center"/>
              <w:rPr>
                <w:rFonts w:ascii="Arial" w:hAnsi="Arial" w:cs="Arial"/>
                <w:sz w:val="20"/>
                <w:szCs w:val="20"/>
              </w:rPr>
            </w:pPr>
          </w:p>
        </w:tc>
        <w:tc>
          <w:tcPr>
            <w:tcW w:w="992"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sz w:val="20"/>
              </w:rPr>
              <w:t>63%</w:t>
            </w:r>
          </w:p>
        </w:tc>
      </w:tr>
      <w:tr w:rsidR="000215B5" w:rsidRPr="00B0608B" w14:paraId="707C6AED" w14:textId="77777777" w:rsidTr="000215B5">
        <w:trPr>
          <w:trHeight w:val="425"/>
        </w:trPr>
        <w:tc>
          <w:tcPr>
            <w:tcW w:w="2268" w:type="dxa"/>
            <w:vAlign w:val="center"/>
          </w:tcPr>
          <w:p w14:paraId="07EB8CAE" w14:textId="77777777" w:rsidR="000215B5" w:rsidRPr="00B0608B" w:rsidRDefault="000215B5" w:rsidP="000215B5">
            <w:pPr>
              <w:keepNext/>
              <w:keepLines/>
              <w:rPr>
                <w:rFonts w:ascii="Arial" w:hAnsi="Arial" w:cs="Arial"/>
                <w:bCs/>
                <w:sz w:val="20"/>
                <w:szCs w:val="20"/>
              </w:rPr>
            </w:pPr>
            <w:r>
              <w:rPr>
                <w:rFonts w:ascii="Arial" w:hAnsi="Arial"/>
                <w:sz w:val="20"/>
              </w:rPr>
              <w:t>Adhérence (N/mm)</w:t>
            </w:r>
          </w:p>
        </w:tc>
        <w:tc>
          <w:tcPr>
            <w:tcW w:w="992" w:type="dxa"/>
            <w:shd w:val="clear" w:color="auto" w:fill="365F91" w:themeFill="accent1" w:themeFillShade="BF"/>
            <w:vAlign w:val="center"/>
          </w:tcPr>
          <w:p w14:paraId="7280A5AE" w14:textId="0DBD7E40" w:rsidR="000215B5" w:rsidRPr="006F4BC8" w:rsidRDefault="000215B5" w:rsidP="000215B5">
            <w:pPr>
              <w:keepNext/>
              <w:keepLines/>
              <w:jc w:val="center"/>
              <w:rPr>
                <w:rFonts w:ascii="Arial" w:hAnsi="Arial" w:cs="Arial"/>
                <w:sz w:val="20"/>
                <w:szCs w:val="20"/>
              </w:rPr>
            </w:pPr>
          </w:p>
        </w:tc>
        <w:tc>
          <w:tcPr>
            <w:tcW w:w="992"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sz w:val="20"/>
              </w:rPr>
              <w:t>3,5 D (PP)</w:t>
            </w:r>
          </w:p>
        </w:tc>
        <w:tc>
          <w:tcPr>
            <w:tcW w:w="992" w:type="dxa"/>
            <w:vAlign w:val="center"/>
          </w:tcPr>
          <w:p w14:paraId="4140C4D7" w14:textId="77777777" w:rsidR="000215B5" w:rsidRPr="006F4BC8" w:rsidRDefault="000215B5" w:rsidP="000215B5">
            <w:pPr>
              <w:keepNext/>
              <w:keepLines/>
              <w:jc w:val="center"/>
              <w:rPr>
                <w:rFonts w:ascii="Arial" w:hAnsi="Arial" w:cs="Arial"/>
                <w:sz w:val="20"/>
                <w:szCs w:val="20"/>
              </w:rPr>
            </w:pPr>
            <w:r>
              <w:rPr>
                <w:rFonts w:ascii="Arial" w:hAnsi="Arial"/>
                <w:sz w:val="20"/>
              </w:rPr>
              <w:t>6,1 D (PA6)</w:t>
            </w:r>
          </w:p>
        </w:tc>
        <w:tc>
          <w:tcPr>
            <w:tcW w:w="992" w:type="dxa"/>
            <w:vAlign w:val="center"/>
          </w:tcPr>
          <w:p w14:paraId="6CCC30E3" w14:textId="77777777" w:rsidR="000215B5" w:rsidRPr="006F4BC8" w:rsidRDefault="000215B5" w:rsidP="000215B5">
            <w:pPr>
              <w:keepNext/>
              <w:keepLines/>
              <w:jc w:val="center"/>
              <w:rPr>
                <w:rFonts w:ascii="Arial" w:hAnsi="Arial" w:cs="Arial"/>
                <w:sz w:val="20"/>
                <w:szCs w:val="20"/>
              </w:rPr>
            </w:pPr>
            <w:r>
              <w:rPr>
                <w:rFonts w:ascii="Arial" w:hAnsi="Arial"/>
                <w:sz w:val="20"/>
              </w:rPr>
              <w:t>5,7 D (PA6)</w:t>
            </w:r>
          </w:p>
        </w:tc>
      </w:tr>
      <w:tr w:rsidR="000215B5" w:rsidRPr="00B0608B" w14:paraId="67AC9D3B" w14:textId="77777777" w:rsidTr="00D26729">
        <w:trPr>
          <w:trHeight w:val="425"/>
        </w:trPr>
        <w:tc>
          <w:tcPr>
            <w:tcW w:w="2268" w:type="dxa"/>
            <w:vAlign w:val="center"/>
          </w:tcPr>
          <w:p w14:paraId="701EE6AD" w14:textId="77777777" w:rsidR="000215B5" w:rsidRPr="00B0608B" w:rsidRDefault="000215B5" w:rsidP="000215B5">
            <w:pPr>
              <w:keepNext/>
              <w:keepLines/>
              <w:rPr>
                <w:rFonts w:ascii="Arial" w:hAnsi="Arial" w:cs="Arial"/>
                <w:bCs/>
                <w:sz w:val="20"/>
                <w:szCs w:val="20"/>
              </w:rPr>
            </w:pPr>
            <w:r>
              <w:rPr>
                <w:rFonts w:ascii="Arial" w:hAnsi="Arial"/>
                <w:sz w:val="20"/>
              </w:rPr>
              <w:t>Dureté</w:t>
            </w:r>
          </w:p>
        </w:tc>
        <w:tc>
          <w:tcPr>
            <w:tcW w:w="992" w:type="dxa"/>
            <w:vAlign w:val="center"/>
          </w:tcPr>
          <w:p w14:paraId="6C84804B" w14:textId="77777777" w:rsidR="000215B5" w:rsidRPr="00B0608B" w:rsidRDefault="000215B5" w:rsidP="000215B5">
            <w:pPr>
              <w:keepNext/>
              <w:keepLines/>
              <w:jc w:val="center"/>
              <w:rPr>
                <w:rFonts w:ascii="Arial" w:hAnsi="Arial" w:cs="Arial"/>
                <w:sz w:val="20"/>
                <w:szCs w:val="20"/>
              </w:rPr>
            </w:pPr>
            <w:r>
              <w:rPr>
                <w:rFonts w:ascii="Arial" w:hAnsi="Arial"/>
                <w:sz w:val="20"/>
              </w:rPr>
              <w:t>60 Shore A</w:t>
            </w:r>
          </w:p>
        </w:tc>
        <w:tc>
          <w:tcPr>
            <w:tcW w:w="992" w:type="dxa"/>
            <w:vAlign w:val="center"/>
          </w:tcPr>
          <w:p w14:paraId="323AAA6B" w14:textId="77777777" w:rsidR="000215B5" w:rsidRPr="00B0608B" w:rsidRDefault="000215B5" w:rsidP="000215B5">
            <w:pPr>
              <w:keepNext/>
              <w:keepLines/>
              <w:jc w:val="center"/>
              <w:rPr>
                <w:rFonts w:ascii="Arial" w:hAnsi="Arial" w:cs="Arial"/>
                <w:sz w:val="20"/>
                <w:szCs w:val="20"/>
              </w:rPr>
            </w:pPr>
            <w:r>
              <w:rPr>
                <w:rFonts w:ascii="Arial" w:hAnsi="Arial"/>
                <w:sz w:val="20"/>
              </w:rPr>
              <w:t>62 Shore A</w:t>
            </w:r>
          </w:p>
        </w:tc>
        <w:tc>
          <w:tcPr>
            <w:tcW w:w="992" w:type="dxa"/>
            <w:vAlign w:val="center"/>
          </w:tcPr>
          <w:p w14:paraId="0FA89760" w14:textId="77777777" w:rsidR="000215B5" w:rsidRPr="00B0608B" w:rsidRDefault="000215B5" w:rsidP="000215B5">
            <w:pPr>
              <w:keepNext/>
              <w:keepLines/>
              <w:jc w:val="center"/>
              <w:rPr>
                <w:rFonts w:ascii="Arial" w:hAnsi="Arial" w:cs="Arial"/>
                <w:sz w:val="20"/>
                <w:szCs w:val="20"/>
              </w:rPr>
            </w:pPr>
            <w:r>
              <w:rPr>
                <w:rFonts w:ascii="Arial" w:hAnsi="Arial"/>
                <w:sz w:val="20"/>
              </w:rPr>
              <w:t>65 Shore A</w:t>
            </w:r>
          </w:p>
        </w:tc>
        <w:tc>
          <w:tcPr>
            <w:tcW w:w="992" w:type="dxa"/>
            <w:vAlign w:val="center"/>
          </w:tcPr>
          <w:p w14:paraId="51C402CF" w14:textId="77777777" w:rsidR="000215B5" w:rsidRPr="00B0608B" w:rsidRDefault="000215B5" w:rsidP="000215B5">
            <w:pPr>
              <w:keepNext/>
              <w:keepLines/>
              <w:jc w:val="center"/>
              <w:rPr>
                <w:rFonts w:ascii="Arial" w:hAnsi="Arial" w:cs="Arial"/>
                <w:sz w:val="20"/>
                <w:szCs w:val="20"/>
              </w:rPr>
            </w:pPr>
            <w:r>
              <w:rPr>
                <w:rFonts w:ascii="Arial" w:hAnsi="Arial"/>
                <w:sz w:val="20"/>
              </w:rPr>
              <w:t>59 Shore A</w:t>
            </w:r>
          </w:p>
        </w:tc>
      </w:tr>
      <w:tr w:rsidR="000215B5" w:rsidRPr="006F4BC8" w14:paraId="6EC222DF" w14:textId="77777777" w:rsidTr="00D26729">
        <w:trPr>
          <w:trHeight w:val="425"/>
        </w:trPr>
        <w:tc>
          <w:tcPr>
            <w:tcW w:w="2268" w:type="dxa"/>
            <w:vAlign w:val="center"/>
          </w:tcPr>
          <w:p w14:paraId="6418DF0F" w14:textId="77777777" w:rsidR="000215B5" w:rsidRPr="00B0608B" w:rsidRDefault="000215B5" w:rsidP="000215B5">
            <w:pPr>
              <w:keepNext/>
              <w:keepLines/>
              <w:rPr>
                <w:rFonts w:ascii="Arial" w:hAnsi="Arial" w:cs="Arial"/>
                <w:bCs/>
                <w:sz w:val="20"/>
                <w:szCs w:val="20"/>
              </w:rPr>
            </w:pPr>
            <w:r>
              <w:rPr>
                <w:rFonts w:ascii="Arial" w:hAnsi="Arial"/>
                <w:sz w:val="20"/>
              </w:rPr>
              <w:t xml:space="preserve">Densité (g/cm³) </w:t>
            </w:r>
          </w:p>
        </w:tc>
        <w:tc>
          <w:tcPr>
            <w:tcW w:w="992" w:type="dxa"/>
          </w:tcPr>
          <w:p w14:paraId="2932419B" w14:textId="77777777" w:rsidR="000215B5" w:rsidRPr="006F4BC8" w:rsidRDefault="000215B5" w:rsidP="000215B5">
            <w:pPr>
              <w:keepNext/>
              <w:keepLines/>
              <w:jc w:val="center"/>
              <w:rPr>
                <w:rFonts w:ascii="Arial" w:hAnsi="Arial" w:cs="Arial"/>
                <w:sz w:val="20"/>
                <w:szCs w:val="20"/>
              </w:rPr>
            </w:pPr>
            <w:r>
              <w:rPr>
                <w:rFonts w:ascii="Arial" w:hAnsi="Arial"/>
                <w:sz w:val="20"/>
              </w:rPr>
              <w:t>0,880</w:t>
            </w:r>
          </w:p>
        </w:tc>
        <w:tc>
          <w:tcPr>
            <w:tcW w:w="992" w:type="dxa"/>
          </w:tcPr>
          <w:p w14:paraId="080B9427" w14:textId="77777777" w:rsidR="000215B5" w:rsidRPr="006F4BC8" w:rsidRDefault="000215B5" w:rsidP="000215B5">
            <w:pPr>
              <w:keepNext/>
              <w:keepLines/>
              <w:jc w:val="center"/>
              <w:rPr>
                <w:rFonts w:ascii="Arial" w:hAnsi="Arial" w:cs="Arial"/>
                <w:sz w:val="20"/>
                <w:szCs w:val="20"/>
              </w:rPr>
            </w:pPr>
            <w:r>
              <w:rPr>
                <w:rFonts w:ascii="Arial" w:hAnsi="Arial"/>
                <w:sz w:val="20"/>
              </w:rPr>
              <w:t>0,865</w:t>
            </w:r>
          </w:p>
        </w:tc>
        <w:tc>
          <w:tcPr>
            <w:tcW w:w="992" w:type="dxa"/>
          </w:tcPr>
          <w:p w14:paraId="3F3F6287" w14:textId="77777777" w:rsidR="000215B5" w:rsidRPr="006F4BC8" w:rsidRDefault="000215B5" w:rsidP="000215B5">
            <w:pPr>
              <w:keepNext/>
              <w:keepLines/>
              <w:jc w:val="center"/>
              <w:rPr>
                <w:rFonts w:ascii="Arial" w:hAnsi="Arial" w:cs="Arial"/>
                <w:sz w:val="20"/>
                <w:szCs w:val="20"/>
              </w:rPr>
            </w:pPr>
            <w:r>
              <w:rPr>
                <w:rFonts w:ascii="Arial" w:hAnsi="Arial"/>
                <w:sz w:val="20"/>
              </w:rPr>
              <w:t>1,200</w:t>
            </w:r>
          </w:p>
        </w:tc>
        <w:tc>
          <w:tcPr>
            <w:tcW w:w="992" w:type="dxa"/>
          </w:tcPr>
          <w:p w14:paraId="7DB39E05" w14:textId="77777777" w:rsidR="000215B5" w:rsidRPr="006F4BC8" w:rsidRDefault="000215B5" w:rsidP="000215B5">
            <w:pPr>
              <w:keepNext/>
              <w:keepLines/>
              <w:jc w:val="center"/>
              <w:rPr>
                <w:rFonts w:ascii="Arial" w:hAnsi="Arial" w:cs="Arial"/>
                <w:sz w:val="20"/>
                <w:szCs w:val="20"/>
              </w:rPr>
            </w:pPr>
            <w:r>
              <w:rPr>
                <w:rFonts w:ascii="Arial" w:hAnsi="Arial"/>
                <w:sz w:val="20"/>
              </w:rPr>
              <w:t>1,149</w:t>
            </w:r>
          </w:p>
        </w:tc>
      </w:tr>
      <w:tr w:rsidR="000215B5" w:rsidRPr="00B0608B" w14:paraId="179E9EA3" w14:textId="77777777" w:rsidTr="00D26729">
        <w:trPr>
          <w:trHeight w:val="425"/>
        </w:trPr>
        <w:tc>
          <w:tcPr>
            <w:tcW w:w="2268" w:type="dxa"/>
            <w:vAlign w:val="center"/>
          </w:tcPr>
          <w:p w14:paraId="28C0A4FF" w14:textId="77777777" w:rsidR="000215B5" w:rsidRPr="00B0608B" w:rsidRDefault="000215B5" w:rsidP="000215B5">
            <w:pPr>
              <w:keepNext/>
              <w:keepLines/>
              <w:rPr>
                <w:rFonts w:ascii="Arial" w:hAnsi="Arial" w:cs="Arial"/>
                <w:bCs/>
                <w:sz w:val="20"/>
                <w:szCs w:val="20"/>
              </w:rPr>
            </w:pPr>
            <w:r>
              <w:rPr>
                <w:rFonts w:ascii="Arial" w:hAnsi="Arial"/>
                <w:sz w:val="20"/>
              </w:rPr>
              <w:t>Résistance à la traction (MPa)</w:t>
            </w:r>
          </w:p>
        </w:tc>
        <w:tc>
          <w:tcPr>
            <w:tcW w:w="992" w:type="dxa"/>
          </w:tcPr>
          <w:p w14:paraId="01869857" w14:textId="77777777" w:rsidR="000215B5" w:rsidRPr="006F4BC8" w:rsidRDefault="000215B5" w:rsidP="000215B5">
            <w:pPr>
              <w:keepNext/>
              <w:keepLines/>
              <w:jc w:val="center"/>
              <w:rPr>
                <w:rFonts w:ascii="Arial" w:hAnsi="Arial" w:cs="Arial"/>
                <w:sz w:val="20"/>
                <w:szCs w:val="20"/>
              </w:rPr>
            </w:pPr>
            <w:r>
              <w:rPr>
                <w:rFonts w:ascii="Arial" w:hAnsi="Arial"/>
                <w:sz w:val="20"/>
              </w:rPr>
              <w:t>6,5</w:t>
            </w:r>
          </w:p>
        </w:tc>
        <w:tc>
          <w:tcPr>
            <w:tcW w:w="992" w:type="dxa"/>
          </w:tcPr>
          <w:p w14:paraId="238F02F2" w14:textId="77777777" w:rsidR="000215B5" w:rsidRPr="006F4BC8" w:rsidRDefault="000215B5" w:rsidP="000215B5">
            <w:pPr>
              <w:keepNext/>
              <w:keepLines/>
              <w:jc w:val="center"/>
              <w:rPr>
                <w:rFonts w:ascii="Arial" w:hAnsi="Arial" w:cs="Arial"/>
                <w:sz w:val="20"/>
                <w:szCs w:val="20"/>
              </w:rPr>
            </w:pPr>
            <w:r>
              <w:rPr>
                <w:rFonts w:ascii="Arial" w:hAnsi="Arial"/>
                <w:sz w:val="20"/>
              </w:rPr>
              <w:t>5,3</w:t>
            </w:r>
          </w:p>
        </w:tc>
        <w:tc>
          <w:tcPr>
            <w:tcW w:w="992" w:type="dxa"/>
          </w:tcPr>
          <w:p w14:paraId="4070C060" w14:textId="77777777" w:rsidR="000215B5" w:rsidRPr="006F4BC8" w:rsidRDefault="000215B5" w:rsidP="000215B5">
            <w:pPr>
              <w:keepNext/>
              <w:keepLines/>
              <w:jc w:val="center"/>
              <w:rPr>
                <w:rFonts w:ascii="Arial" w:hAnsi="Arial" w:cs="Arial"/>
                <w:sz w:val="20"/>
                <w:szCs w:val="20"/>
              </w:rPr>
            </w:pPr>
            <w:r>
              <w:rPr>
                <w:rFonts w:ascii="Arial" w:hAnsi="Arial"/>
                <w:sz w:val="20"/>
              </w:rPr>
              <w:t>4,6</w:t>
            </w:r>
          </w:p>
        </w:tc>
        <w:tc>
          <w:tcPr>
            <w:tcW w:w="992" w:type="dxa"/>
          </w:tcPr>
          <w:p w14:paraId="40910CA3" w14:textId="77777777" w:rsidR="000215B5" w:rsidRPr="006F4BC8" w:rsidRDefault="000215B5" w:rsidP="000215B5">
            <w:pPr>
              <w:keepNext/>
              <w:keepLines/>
              <w:jc w:val="center"/>
              <w:rPr>
                <w:rFonts w:ascii="Arial" w:hAnsi="Arial" w:cs="Arial"/>
                <w:sz w:val="20"/>
                <w:szCs w:val="20"/>
              </w:rPr>
            </w:pPr>
            <w:r>
              <w:rPr>
                <w:rFonts w:ascii="Arial" w:hAnsi="Arial"/>
                <w:sz w:val="20"/>
              </w:rPr>
              <w:t>4,0</w:t>
            </w:r>
          </w:p>
        </w:tc>
      </w:tr>
      <w:tr w:rsidR="000215B5" w:rsidRPr="00B0608B" w14:paraId="62BC27EF" w14:textId="77777777" w:rsidTr="00D26729">
        <w:trPr>
          <w:trHeight w:val="425"/>
        </w:trPr>
        <w:tc>
          <w:tcPr>
            <w:tcW w:w="2268" w:type="dxa"/>
            <w:vAlign w:val="center"/>
          </w:tcPr>
          <w:p w14:paraId="3B388963" w14:textId="77777777" w:rsidR="000215B5" w:rsidRPr="00B0608B" w:rsidRDefault="000215B5" w:rsidP="000215B5">
            <w:pPr>
              <w:keepNext/>
              <w:keepLines/>
              <w:rPr>
                <w:rFonts w:ascii="Arial" w:hAnsi="Arial" w:cs="Arial"/>
                <w:bCs/>
                <w:sz w:val="20"/>
                <w:szCs w:val="20"/>
              </w:rPr>
            </w:pPr>
            <w:r>
              <w:rPr>
                <w:rFonts w:ascii="Arial" w:hAnsi="Arial"/>
                <w:sz w:val="20"/>
              </w:rPr>
              <w:t>Allongement à la rupture (%)</w:t>
            </w:r>
          </w:p>
        </w:tc>
        <w:tc>
          <w:tcPr>
            <w:tcW w:w="992" w:type="dxa"/>
          </w:tcPr>
          <w:p w14:paraId="02FB8152" w14:textId="77777777" w:rsidR="000215B5" w:rsidRPr="006F4BC8" w:rsidRDefault="000215B5" w:rsidP="000215B5">
            <w:pPr>
              <w:keepNext/>
              <w:keepLines/>
              <w:jc w:val="center"/>
              <w:rPr>
                <w:rFonts w:ascii="Arial" w:hAnsi="Arial" w:cs="Arial"/>
                <w:sz w:val="20"/>
                <w:szCs w:val="20"/>
              </w:rPr>
            </w:pPr>
            <w:r>
              <w:rPr>
                <w:rFonts w:ascii="Arial" w:hAnsi="Arial"/>
                <w:sz w:val="20"/>
              </w:rPr>
              <w:t>750</w:t>
            </w:r>
          </w:p>
        </w:tc>
        <w:tc>
          <w:tcPr>
            <w:tcW w:w="992" w:type="dxa"/>
          </w:tcPr>
          <w:p w14:paraId="059CDEEA" w14:textId="77777777" w:rsidR="000215B5" w:rsidRPr="006F4BC8" w:rsidRDefault="000215B5" w:rsidP="000215B5">
            <w:pPr>
              <w:keepNext/>
              <w:keepLines/>
              <w:jc w:val="center"/>
              <w:rPr>
                <w:rFonts w:ascii="Arial" w:hAnsi="Arial" w:cs="Arial"/>
                <w:sz w:val="20"/>
                <w:szCs w:val="20"/>
              </w:rPr>
            </w:pPr>
            <w:r>
              <w:rPr>
                <w:rFonts w:ascii="Arial" w:hAnsi="Arial"/>
                <w:sz w:val="20"/>
              </w:rPr>
              <w:t>671</w:t>
            </w:r>
          </w:p>
        </w:tc>
        <w:tc>
          <w:tcPr>
            <w:tcW w:w="992" w:type="dxa"/>
          </w:tcPr>
          <w:p w14:paraId="6E206C5B" w14:textId="77777777" w:rsidR="000215B5" w:rsidRPr="006F4BC8" w:rsidRDefault="000215B5" w:rsidP="000215B5">
            <w:pPr>
              <w:keepNext/>
              <w:keepLines/>
              <w:jc w:val="center"/>
              <w:rPr>
                <w:rFonts w:ascii="Arial" w:hAnsi="Arial" w:cs="Arial"/>
                <w:sz w:val="20"/>
                <w:szCs w:val="20"/>
              </w:rPr>
            </w:pPr>
            <w:r>
              <w:rPr>
                <w:rFonts w:ascii="Arial" w:hAnsi="Arial"/>
                <w:sz w:val="20"/>
              </w:rPr>
              <w:t>421</w:t>
            </w:r>
          </w:p>
        </w:tc>
        <w:tc>
          <w:tcPr>
            <w:tcW w:w="992" w:type="dxa"/>
          </w:tcPr>
          <w:p w14:paraId="6CE9DC7A" w14:textId="77777777" w:rsidR="000215B5" w:rsidRPr="006F4BC8" w:rsidRDefault="000215B5" w:rsidP="000215B5">
            <w:pPr>
              <w:keepNext/>
              <w:keepLines/>
              <w:jc w:val="center"/>
              <w:rPr>
                <w:rFonts w:ascii="Arial" w:hAnsi="Arial" w:cs="Arial"/>
                <w:sz w:val="20"/>
                <w:szCs w:val="20"/>
              </w:rPr>
            </w:pPr>
            <w:r>
              <w:rPr>
                <w:rFonts w:ascii="Arial" w:hAnsi="Arial"/>
                <w:sz w:val="20"/>
              </w:rPr>
              <w:t>484</w:t>
            </w:r>
          </w:p>
        </w:tc>
      </w:tr>
      <w:tr w:rsidR="000215B5" w:rsidRPr="00B0608B" w14:paraId="4F47324A" w14:textId="77777777" w:rsidTr="00D26729">
        <w:trPr>
          <w:trHeight w:val="425"/>
        </w:trPr>
        <w:tc>
          <w:tcPr>
            <w:tcW w:w="2268" w:type="dxa"/>
            <w:vAlign w:val="center"/>
          </w:tcPr>
          <w:p w14:paraId="6754E027" w14:textId="77777777" w:rsidR="000215B5" w:rsidRPr="00B0608B" w:rsidRDefault="000215B5" w:rsidP="000215B5">
            <w:pPr>
              <w:keepNext/>
              <w:keepLines/>
              <w:rPr>
                <w:rFonts w:ascii="Arial" w:hAnsi="Arial" w:cs="Arial"/>
                <w:bCs/>
                <w:sz w:val="20"/>
                <w:szCs w:val="20"/>
              </w:rPr>
            </w:pPr>
            <w:r>
              <w:rPr>
                <w:rFonts w:ascii="Arial" w:hAnsi="Arial"/>
                <w:sz w:val="20"/>
              </w:rPr>
              <w:t>ECP (kgCO</w:t>
            </w:r>
            <w:r>
              <w:rPr>
                <w:rFonts w:ascii="Arial" w:hAnsi="Arial"/>
                <w:sz w:val="20"/>
                <w:vertAlign w:val="subscript"/>
              </w:rPr>
              <w:t>2</w:t>
            </w:r>
            <w:r>
              <w:rPr>
                <w:rFonts w:ascii="Arial" w:hAnsi="Arial"/>
                <w:sz w:val="20"/>
              </w:rPr>
              <w:t>e/kg)*</w:t>
            </w:r>
          </w:p>
        </w:tc>
        <w:tc>
          <w:tcPr>
            <w:tcW w:w="992" w:type="dxa"/>
          </w:tcPr>
          <w:p w14:paraId="3E281A53" w14:textId="77777777" w:rsidR="000215B5" w:rsidRPr="006F4BC8" w:rsidRDefault="000215B5" w:rsidP="000215B5">
            <w:pPr>
              <w:keepNext/>
              <w:keepLines/>
              <w:jc w:val="center"/>
              <w:rPr>
                <w:rFonts w:ascii="Arial" w:hAnsi="Arial" w:cs="Arial"/>
                <w:sz w:val="20"/>
                <w:szCs w:val="20"/>
              </w:rPr>
            </w:pPr>
            <w:r>
              <w:rPr>
                <w:rFonts w:ascii="Arial" w:hAnsi="Arial"/>
                <w:sz w:val="20"/>
              </w:rPr>
              <w:t>2,61</w:t>
            </w:r>
          </w:p>
        </w:tc>
        <w:tc>
          <w:tcPr>
            <w:tcW w:w="992" w:type="dxa"/>
          </w:tcPr>
          <w:p w14:paraId="2386BA0C" w14:textId="77777777" w:rsidR="000215B5" w:rsidRPr="006F4BC8" w:rsidRDefault="000215B5" w:rsidP="000215B5">
            <w:pPr>
              <w:keepNext/>
              <w:keepLines/>
              <w:jc w:val="center"/>
              <w:rPr>
                <w:rFonts w:ascii="Arial" w:hAnsi="Arial" w:cs="Arial"/>
                <w:sz w:val="20"/>
                <w:szCs w:val="20"/>
              </w:rPr>
            </w:pPr>
            <w:r>
              <w:rPr>
                <w:rFonts w:ascii="Arial" w:hAnsi="Arial"/>
                <w:sz w:val="20"/>
              </w:rPr>
              <w:t>1,59</w:t>
            </w:r>
          </w:p>
        </w:tc>
        <w:tc>
          <w:tcPr>
            <w:tcW w:w="992" w:type="dxa"/>
          </w:tcPr>
          <w:p w14:paraId="029C1450" w14:textId="77777777" w:rsidR="000215B5" w:rsidRPr="006F4BC8" w:rsidRDefault="000215B5" w:rsidP="000215B5">
            <w:pPr>
              <w:keepNext/>
              <w:keepLines/>
              <w:jc w:val="center"/>
              <w:rPr>
                <w:rFonts w:ascii="Arial" w:hAnsi="Arial" w:cs="Arial"/>
                <w:sz w:val="20"/>
                <w:szCs w:val="20"/>
              </w:rPr>
            </w:pPr>
            <w:r>
              <w:rPr>
                <w:rFonts w:ascii="Arial" w:hAnsi="Arial"/>
                <w:sz w:val="20"/>
              </w:rPr>
              <w:t>2,19</w:t>
            </w:r>
          </w:p>
        </w:tc>
        <w:tc>
          <w:tcPr>
            <w:tcW w:w="992" w:type="dxa"/>
          </w:tcPr>
          <w:p w14:paraId="38C3EC26" w14:textId="77777777" w:rsidR="000215B5" w:rsidRPr="006F4BC8" w:rsidRDefault="000215B5" w:rsidP="000215B5">
            <w:pPr>
              <w:keepNext/>
              <w:keepLines/>
              <w:jc w:val="center"/>
              <w:rPr>
                <w:rFonts w:ascii="Arial" w:hAnsi="Arial" w:cs="Arial"/>
                <w:sz w:val="20"/>
                <w:szCs w:val="20"/>
              </w:rPr>
            </w:pPr>
            <w:r>
              <w:rPr>
                <w:rFonts w:ascii="Arial" w:hAnsi="Arial"/>
                <w:sz w:val="20"/>
              </w:rPr>
              <w:t xml:space="preserve">1,47  </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329C7961" w14:textId="77777777" w:rsidR="00880AC8" w:rsidRPr="00880AC8" w:rsidRDefault="00880AC8" w:rsidP="00880AC8">
      <w:pPr>
        <w:keepLines/>
        <w:spacing w:line="360" w:lineRule="auto"/>
        <w:ind w:right="1701"/>
        <w:jc w:val="both"/>
        <w:rPr>
          <w:rFonts w:ascii="Arial" w:hAnsi="Arial" w:cs="Arial"/>
          <w:bCs/>
          <w:strike/>
          <w:sz w:val="20"/>
          <w:szCs w:val="20"/>
        </w:rPr>
      </w:pPr>
      <w:r>
        <w:rPr>
          <w:rFonts w:ascii="Arial" w:hAnsi="Arial"/>
          <w:sz w:val="14"/>
        </w:rPr>
        <w:t xml:space="preserve">* **) Le calcul se fait dans le cadre du système </w:t>
      </w:r>
      <w:proofErr w:type="spellStart"/>
      <w:r>
        <w:rPr>
          <w:rFonts w:ascii="Arial" w:hAnsi="Arial"/>
          <w:sz w:val="14"/>
        </w:rPr>
        <w:t>cradle</w:t>
      </w:r>
      <w:proofErr w:type="spellEnd"/>
      <w:r>
        <w:rPr>
          <w:rFonts w:ascii="Arial" w:hAnsi="Arial"/>
          <w:sz w:val="14"/>
        </w:rPr>
        <w:t>-to-</w:t>
      </w:r>
      <w:proofErr w:type="spellStart"/>
      <w:r>
        <w:rPr>
          <w:rFonts w:ascii="Arial" w:hAnsi="Arial"/>
          <w:sz w:val="14"/>
        </w:rPr>
        <w:t>gate</w:t>
      </w:r>
      <w:proofErr w:type="spellEnd"/>
      <w:r>
        <w:rPr>
          <w:rFonts w:ascii="Arial" w:hAnsi="Arial"/>
          <w:sz w:val="14"/>
        </w:rPr>
        <w:t>, c’est-à-dire du berceau à la porte de l’usine, selon la norme DIN EN ISO 14067 et en s’appuyant sur les principes des normes DIN EN ISO 14040/14044 et du protocole des gaz à effet de serre (GES). Les valeurs prennent en compte l’absorption biogène, le transport, l’emballage et la fabrication du compound.</w:t>
      </w:r>
    </w:p>
    <w:p w14:paraId="37E93FBA" w14:textId="77777777" w:rsidR="00880AC8" w:rsidRPr="008E3149" w:rsidRDefault="00880AC8" w:rsidP="00880AC8">
      <w:pPr>
        <w:keepLines/>
        <w:spacing w:after="0" w:line="360" w:lineRule="auto"/>
        <w:ind w:right="1701"/>
        <w:jc w:val="both"/>
        <w:rPr>
          <w:rFonts w:ascii="Arial" w:hAnsi="Arial" w:cs="Arial"/>
          <w:bCs/>
          <w:strike/>
          <w:sz w:val="20"/>
          <w:szCs w:val="20"/>
        </w:rPr>
      </w:pPr>
    </w:p>
    <w:bookmarkEnd w:id="1"/>
    <w:p w14:paraId="1325C218" w14:textId="1FCD8D8D" w:rsidR="00880AC8" w:rsidRDefault="00880AC8" w:rsidP="00880AC8">
      <w:pPr>
        <w:keepLines/>
        <w:spacing w:after="0" w:line="360" w:lineRule="auto"/>
        <w:ind w:right="1701"/>
        <w:jc w:val="both"/>
        <w:rPr>
          <w:rFonts w:ascii="Arial" w:hAnsi="Arial"/>
          <w:bCs/>
          <w:sz w:val="20"/>
        </w:rPr>
      </w:pPr>
      <w:r>
        <w:rPr>
          <w:rFonts w:ascii="Arial" w:hAnsi="Arial"/>
          <w:sz w:val="20"/>
        </w:rPr>
        <w:lastRenderedPageBreak/>
        <w:t>«Avec les Bio-</w:t>
      </w:r>
      <w:proofErr w:type="spellStart"/>
      <w:r>
        <w:rPr>
          <w:rFonts w:ascii="Arial" w:hAnsi="Arial"/>
          <w:sz w:val="20"/>
        </w:rPr>
        <w:t>based</w:t>
      </w:r>
      <w:proofErr w:type="spellEnd"/>
      <w:r>
        <w:rPr>
          <w:rFonts w:ascii="Arial" w:hAnsi="Arial"/>
          <w:sz w:val="20"/>
        </w:rPr>
        <w:t xml:space="preserve"> TPE, nous refermons une lacune dans notre gamme de produits et nous franchissons un nouveau jalon en ce qui concerne les TPE durables. Nos TPE biosourcés offrent des solutions plus durables tout en conservant les performances habituelles et en réduisant d’une manière significative l’empreinte carbone du produit. Nous nous réjouissons de tous les projets qui permettent de passer de matières d’origine fossile à des solutions plus durables», résume </w:t>
      </w:r>
      <w:r w:rsidR="00D233C2">
        <w:rPr>
          <w:rFonts w:ascii="Arial" w:hAnsi="Arial"/>
          <w:sz w:val="20"/>
        </w:rPr>
        <w:t xml:space="preserve">Dr. </w:t>
      </w:r>
      <w:r>
        <w:rPr>
          <w:rFonts w:ascii="Arial" w:hAnsi="Arial"/>
          <w:sz w:val="20"/>
        </w:rPr>
        <w:t xml:space="preserve">Tobias Brückner, Project Manager Advance </w:t>
      </w:r>
      <w:proofErr w:type="spellStart"/>
      <w:r>
        <w:rPr>
          <w:rFonts w:ascii="Arial" w:hAnsi="Arial"/>
          <w:sz w:val="20"/>
        </w:rPr>
        <w:t>Development</w:t>
      </w:r>
      <w:proofErr w:type="spellEnd"/>
      <w:r>
        <w:rPr>
          <w:rFonts w:ascii="Arial" w:hAnsi="Arial"/>
          <w:sz w:val="20"/>
        </w:rPr>
        <w:t xml:space="preserve"> chez KRAIBURG TPE.</w:t>
      </w:r>
    </w:p>
    <w:p w14:paraId="3B945861" w14:textId="77777777" w:rsidR="00703326" w:rsidRDefault="00703326" w:rsidP="00880AC8">
      <w:pPr>
        <w:keepLines/>
        <w:spacing w:after="0" w:line="360" w:lineRule="auto"/>
        <w:ind w:right="1701"/>
        <w:jc w:val="both"/>
        <w:rPr>
          <w:rFonts w:ascii="Arial" w:hAnsi="Arial"/>
          <w:bCs/>
          <w:sz w:val="20"/>
        </w:rPr>
      </w:pPr>
    </w:p>
    <w:p w14:paraId="0D4AC69D" w14:textId="6C688416" w:rsidR="004F2512" w:rsidRPr="008E3149" w:rsidRDefault="004F2512" w:rsidP="00703326">
      <w:pPr>
        <w:keepLines/>
        <w:spacing w:after="0" w:line="360" w:lineRule="auto"/>
        <w:ind w:right="1701"/>
        <w:jc w:val="both"/>
        <w:rPr>
          <w:rFonts w:ascii="Arial" w:hAnsi="Arial"/>
          <w:b/>
          <w:sz w:val="20"/>
        </w:rPr>
      </w:pPr>
      <w:r>
        <w:rPr>
          <w:rFonts w:ascii="Arial" w:hAnsi="Arial"/>
          <w:b/>
          <w:sz w:val="20"/>
        </w:rPr>
        <w:t>Les Bio-</w:t>
      </w:r>
      <w:proofErr w:type="spellStart"/>
      <w:r>
        <w:rPr>
          <w:rFonts w:ascii="Arial" w:hAnsi="Arial"/>
          <w:b/>
          <w:sz w:val="20"/>
        </w:rPr>
        <w:t>based</w:t>
      </w:r>
      <w:proofErr w:type="spellEnd"/>
      <w:r>
        <w:rPr>
          <w:rFonts w:ascii="Arial" w:hAnsi="Arial"/>
          <w:b/>
          <w:sz w:val="20"/>
        </w:rPr>
        <w:t xml:space="preserve"> TPE </w:t>
      </w:r>
      <w:r w:rsidRPr="004F2512">
        <w:rPr>
          <w:rFonts w:ascii="Arial" w:hAnsi="Arial"/>
          <w:b/>
          <w:sz w:val="20"/>
        </w:rPr>
        <w:t>sont actuellement produits en Allemagne et sont immédiatement disponibles dans le monde entier.</w:t>
      </w:r>
    </w:p>
    <w:p w14:paraId="76B33C21" w14:textId="77777777" w:rsidR="00703326" w:rsidRDefault="00703326" w:rsidP="00880AC8">
      <w:pPr>
        <w:keepLines/>
        <w:spacing w:after="0" w:line="360" w:lineRule="auto"/>
        <w:ind w:right="1701"/>
        <w:jc w:val="both"/>
        <w:rPr>
          <w:rFonts w:ascii="Arial" w:hAnsi="Arial"/>
          <w:bCs/>
          <w:sz w:val="20"/>
        </w:rPr>
      </w:pPr>
    </w:p>
    <w:p w14:paraId="6FDAC6D5" w14:textId="5F33717B" w:rsidR="00880AC8" w:rsidRDefault="004F2512" w:rsidP="00880AC8">
      <w:pPr>
        <w:keepLines/>
        <w:spacing w:after="0" w:line="360" w:lineRule="auto"/>
        <w:ind w:right="1701"/>
        <w:jc w:val="both"/>
        <w:rPr>
          <w:rFonts w:ascii="Arial" w:hAnsi="Arial"/>
          <w:bCs/>
          <w:sz w:val="20"/>
        </w:rPr>
      </w:pPr>
      <w:r>
        <w:rPr>
          <w:rFonts w:ascii="Arial" w:hAnsi="Arial"/>
          <w:bCs/>
          <w:noProof/>
          <w:sz w:val="20"/>
        </w:rPr>
        <w:drawing>
          <wp:inline distT="0" distB="0" distL="0" distR="0" wp14:anchorId="48846855" wp14:editId="5124D900">
            <wp:extent cx="4157414" cy="2392878"/>
            <wp:effectExtent l="0" t="0" r="0" b="7620"/>
            <wp:docPr id="108063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74437" cy="2402676"/>
                    </a:xfrm>
                    <a:prstGeom prst="rect">
                      <a:avLst/>
                    </a:prstGeom>
                    <a:noFill/>
                    <a:ln>
                      <a:noFill/>
                    </a:ln>
                  </pic:spPr>
                </pic:pic>
              </a:graphicData>
            </a:graphic>
          </wp:inline>
        </w:drawing>
      </w:r>
    </w:p>
    <w:p w14:paraId="01C8381C" w14:textId="3F85B2A1" w:rsidR="00703326" w:rsidRDefault="00703326" w:rsidP="00703326">
      <w:pPr>
        <w:keepLines/>
        <w:spacing w:after="0" w:line="360" w:lineRule="auto"/>
        <w:ind w:right="1701"/>
        <w:jc w:val="both"/>
        <w:rPr>
          <w:rFonts w:ascii="Arial" w:hAnsi="Arial"/>
          <w:b/>
          <w:sz w:val="20"/>
        </w:rPr>
      </w:pPr>
      <w:r>
        <w:rPr>
          <w:rFonts w:ascii="Arial" w:hAnsi="Arial"/>
          <w:b/>
          <w:sz w:val="20"/>
        </w:rPr>
        <w:t xml:space="preserve">Illustration 1: </w:t>
      </w:r>
      <w:r>
        <w:rPr>
          <w:rFonts w:ascii="Arial" w:hAnsi="Arial"/>
          <w:sz w:val="20"/>
        </w:rPr>
        <w:t>Les Bio-</w:t>
      </w:r>
      <w:proofErr w:type="spellStart"/>
      <w:r>
        <w:rPr>
          <w:rFonts w:ascii="Arial" w:hAnsi="Arial"/>
          <w:sz w:val="20"/>
        </w:rPr>
        <w:t>based</w:t>
      </w:r>
      <w:proofErr w:type="spellEnd"/>
      <w:r>
        <w:rPr>
          <w:rFonts w:ascii="Arial" w:hAnsi="Arial"/>
          <w:sz w:val="20"/>
        </w:rPr>
        <w:t xml:space="preserve"> TPE présentent une empreinte carbone (ECP) plus faible que celle des solutions alternatives habituelles qui ne sont pas basées sur des matières premières renouvelables (source: KRAIBURG TPE).</w:t>
      </w:r>
    </w:p>
    <w:p w14:paraId="498B53FA" w14:textId="791D44D6" w:rsidR="00703326" w:rsidRDefault="00703326" w:rsidP="00880AC8">
      <w:pPr>
        <w:keepLines/>
        <w:spacing w:after="0" w:line="360" w:lineRule="auto"/>
        <w:ind w:right="1701"/>
        <w:jc w:val="both"/>
        <w:rPr>
          <w:rFonts w:ascii="Arial" w:hAnsi="Arial"/>
          <w:b/>
          <w:sz w:val="20"/>
        </w:rPr>
      </w:pPr>
    </w:p>
    <w:p w14:paraId="7F0EDC80" w14:textId="48AE5EDB" w:rsidR="00703326" w:rsidRDefault="004F2512" w:rsidP="00880AC8">
      <w:pPr>
        <w:keepLines/>
        <w:spacing w:after="0" w:line="360" w:lineRule="auto"/>
        <w:ind w:right="1701"/>
        <w:jc w:val="both"/>
        <w:rPr>
          <w:rFonts w:ascii="Arial" w:hAnsi="Arial"/>
          <w:b/>
          <w:sz w:val="20"/>
        </w:rPr>
      </w:pPr>
      <w:r>
        <w:rPr>
          <w:rFonts w:ascii="Arial" w:hAnsi="Arial"/>
          <w:b/>
          <w:noProof/>
          <w:sz w:val="20"/>
        </w:rPr>
        <w:lastRenderedPageBreak/>
        <w:drawing>
          <wp:inline distT="0" distB="0" distL="0" distR="0" wp14:anchorId="1C87CBFA" wp14:editId="684E2A91">
            <wp:extent cx="2412152" cy="2844140"/>
            <wp:effectExtent l="0" t="0" r="7620" b="0"/>
            <wp:docPr id="156024405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1989" cy="2855738"/>
                    </a:xfrm>
                    <a:prstGeom prst="rect">
                      <a:avLst/>
                    </a:prstGeom>
                    <a:noFill/>
                    <a:ln>
                      <a:noFill/>
                    </a:ln>
                  </pic:spPr>
                </pic:pic>
              </a:graphicData>
            </a:graphic>
          </wp:inline>
        </w:drawing>
      </w:r>
    </w:p>
    <w:p w14:paraId="63BE45F3" w14:textId="7EB022AC" w:rsidR="00EB76B2" w:rsidRDefault="00703326" w:rsidP="00880AC8">
      <w:pPr>
        <w:keepLines/>
        <w:spacing w:after="0" w:line="360" w:lineRule="auto"/>
        <w:ind w:right="1701"/>
        <w:jc w:val="both"/>
        <w:rPr>
          <w:rFonts w:ascii="Arial" w:hAnsi="Arial"/>
          <w:sz w:val="20"/>
        </w:rPr>
      </w:pPr>
      <w:r>
        <w:rPr>
          <w:rFonts w:ascii="Arial" w:hAnsi="Arial"/>
          <w:b/>
          <w:sz w:val="20"/>
        </w:rPr>
        <w:t xml:space="preserve">Illustration 2: </w:t>
      </w:r>
      <w:r w:rsidR="00D233C2" w:rsidRPr="00D233C2">
        <w:rPr>
          <w:rFonts w:ascii="Arial" w:hAnsi="Arial"/>
          <w:bCs/>
          <w:sz w:val="20"/>
        </w:rPr>
        <w:t>Dr.</w:t>
      </w:r>
      <w:r w:rsidR="00D233C2">
        <w:rPr>
          <w:rFonts w:ascii="Arial" w:hAnsi="Arial"/>
          <w:b/>
          <w:sz w:val="20"/>
        </w:rPr>
        <w:t xml:space="preserve"> </w:t>
      </w:r>
      <w:r>
        <w:rPr>
          <w:rFonts w:ascii="Arial" w:hAnsi="Arial"/>
          <w:sz w:val="20"/>
        </w:rPr>
        <w:t xml:space="preserve">Tobias Brückner, Project Manager Advance </w:t>
      </w:r>
      <w:proofErr w:type="spellStart"/>
      <w:r>
        <w:rPr>
          <w:rFonts w:ascii="Arial" w:hAnsi="Arial"/>
          <w:sz w:val="20"/>
        </w:rPr>
        <w:t>Development</w:t>
      </w:r>
      <w:proofErr w:type="spellEnd"/>
      <w:r>
        <w:rPr>
          <w:rFonts w:ascii="Arial" w:hAnsi="Arial"/>
          <w:sz w:val="20"/>
        </w:rPr>
        <w:t xml:space="preserve"> chez KRAIBURG TPE (source: KRAIBURG TPE).</w:t>
      </w:r>
    </w:p>
    <w:p w14:paraId="490B36F5" w14:textId="77777777" w:rsidR="00EB76B2" w:rsidRDefault="00EB76B2">
      <w:pPr>
        <w:rPr>
          <w:rFonts w:ascii="Arial" w:hAnsi="Arial"/>
          <w:sz w:val="20"/>
        </w:rPr>
      </w:pPr>
      <w:r>
        <w:rPr>
          <w:rFonts w:ascii="Arial" w:hAnsi="Arial"/>
          <w:sz w:val="20"/>
        </w:rPr>
        <w:br w:type="page"/>
      </w:r>
    </w:p>
    <w:p w14:paraId="19B1130D" w14:textId="77777777" w:rsidR="00EB76B2" w:rsidRPr="00BF2473" w:rsidRDefault="00EB76B2" w:rsidP="00EB76B2">
      <w:pPr>
        <w:rPr>
          <w:rFonts w:ascii="Arial" w:hAnsi="Arial" w:cs="Arial"/>
          <w:b/>
          <w:color w:val="000000"/>
          <w:sz w:val="21"/>
          <w:szCs w:val="21"/>
        </w:rPr>
      </w:pPr>
      <w:r>
        <w:rPr>
          <w:rFonts w:ascii="Arial" w:hAnsi="Arial"/>
          <w:b/>
          <w:color w:val="000000"/>
          <w:sz w:val="21"/>
        </w:rPr>
        <w:lastRenderedPageBreak/>
        <w:t>Informations pour les représentants de la presse</w:t>
      </w:r>
    </w:p>
    <w:p w14:paraId="39348CC0" w14:textId="77777777" w:rsidR="00EB76B2" w:rsidRPr="00BF2473" w:rsidRDefault="00EB76B2" w:rsidP="00EB76B2">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0574BE22" wp14:editId="6AAEDC9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86FFA" w14:textId="77777777" w:rsidR="00EB76B2" w:rsidRPr="00C7138A" w:rsidRDefault="00EB76B2" w:rsidP="00EB76B2">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C7138A">
        <w:rPr>
          <w:rStyle w:val="Hyperlink"/>
          <w:rFonts w:ascii="Arial" w:hAnsi="Arial"/>
          <w:b/>
          <w:sz w:val="21"/>
        </w:rPr>
        <w:t>Matériel d’illustration</w:t>
      </w:r>
    </w:p>
    <w:p w14:paraId="4EBC9592" w14:textId="77777777" w:rsidR="00EB76B2" w:rsidRPr="00BF2473" w:rsidRDefault="00EB76B2" w:rsidP="00EB76B2">
      <w:pPr>
        <w:rPr>
          <w:rFonts w:ascii="Arial" w:hAnsi="Arial" w:cs="Arial"/>
          <w:b/>
          <w:color w:val="000000"/>
          <w:sz w:val="21"/>
          <w:szCs w:val="21"/>
          <w:lang w:val="de-DE"/>
        </w:rPr>
      </w:pPr>
      <w:r>
        <w:rPr>
          <w:rFonts w:ascii="Arial" w:hAnsi="Arial"/>
          <w:b/>
          <w:sz w:val="21"/>
        </w:rPr>
        <w:fldChar w:fldCharType="end"/>
      </w:r>
    </w:p>
    <w:p w14:paraId="33C2F461" w14:textId="77777777" w:rsidR="00EB76B2" w:rsidRPr="00365EA6" w:rsidRDefault="00EB76B2" w:rsidP="00EB76B2">
      <w:pPr>
        <w:rPr>
          <w:rFonts w:ascii="Arial" w:hAnsi="Arial" w:cs="Arial"/>
          <w:b/>
          <w:color w:val="000000"/>
          <w:sz w:val="21"/>
          <w:szCs w:val="21"/>
        </w:rPr>
      </w:pPr>
      <w:r w:rsidRPr="00365EA6">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76B2" w:rsidRPr="0081451C" w14:paraId="4BE7C3BA" w14:textId="77777777" w:rsidTr="00D33720">
        <w:trPr>
          <w:trHeight w:val="511"/>
        </w:trPr>
        <w:tc>
          <w:tcPr>
            <w:tcW w:w="704" w:type="dxa"/>
          </w:tcPr>
          <w:p w14:paraId="59260E1F" w14:textId="77777777" w:rsidR="00EB76B2" w:rsidRPr="00365EA6" w:rsidRDefault="00EB76B2"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51527110" wp14:editId="62C86095">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23F88FC8" w14:textId="77777777" w:rsidR="00EB76B2" w:rsidRPr="00365EA6" w:rsidRDefault="00EB76B2"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3C2E11F1" wp14:editId="4E730DE9">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1B0C14D" w14:textId="77777777" w:rsidR="00EB76B2" w:rsidRPr="00365EA6" w:rsidRDefault="00EB76B2" w:rsidP="00D33720">
            <w:pPr>
              <w:rPr>
                <w:rFonts w:ascii="Arial" w:hAnsi="Arial" w:cs="Arial"/>
                <w:b/>
                <w:color w:val="000000"/>
                <w:sz w:val="21"/>
                <w:szCs w:val="21"/>
              </w:rPr>
            </w:pPr>
            <w:r w:rsidRPr="00365EA6">
              <w:rPr>
                <w:noProof/>
              </w:rPr>
              <w:drawing>
                <wp:inline distT="0" distB="0" distL="0" distR="0" wp14:anchorId="2EE988CD" wp14:editId="5031DC31">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4F4720D" w14:textId="77777777" w:rsidR="00EB76B2" w:rsidRPr="00365EA6" w:rsidRDefault="00EB76B2"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23D914BA" wp14:editId="59FCDDA3">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0C836B5" w14:textId="77777777" w:rsidR="00EB76B2" w:rsidRPr="00365EA6" w:rsidRDefault="00EB76B2"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54CFADA6" wp14:editId="3E45A7AD">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154C87B8" w14:textId="77777777" w:rsidR="00EB76B2" w:rsidRPr="0081451C" w:rsidRDefault="00EB76B2" w:rsidP="00EB76B2">
      <w:pPr>
        <w:rPr>
          <w:rFonts w:ascii="Arial" w:hAnsi="Arial" w:cs="Arial"/>
          <w:b/>
          <w:color w:val="000000"/>
          <w:sz w:val="21"/>
          <w:szCs w:val="21"/>
          <w:highlight w:val="yellow"/>
          <w:lang w:val="de-DE"/>
        </w:rPr>
      </w:pPr>
    </w:p>
    <w:p w14:paraId="33FF6CD2" w14:textId="77777777" w:rsidR="00EB76B2" w:rsidRPr="00526A4B" w:rsidRDefault="00EB76B2" w:rsidP="00EB76B2">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68FE78FF" w14:textId="6B818D67" w:rsidR="00EB76B2" w:rsidRPr="00704068" w:rsidRDefault="00704068" w:rsidP="00EB76B2">
      <w:pPr>
        <w:keepNext/>
        <w:keepLines/>
        <w:spacing w:after="0" w:line="360" w:lineRule="auto"/>
        <w:ind w:right="1701"/>
        <w:jc w:val="both"/>
        <w:rPr>
          <w:lang w:val="fr-FR"/>
        </w:rPr>
      </w:pPr>
      <w:r w:rsidRPr="00704068">
        <w:rPr>
          <w:rFonts w:ascii="Arial" w:hAnsi="Arial" w:cs="Arial"/>
          <w:color w:val="000000"/>
          <w:sz w:val="20"/>
          <w:lang w:val="fr-FR"/>
        </w:rPr>
        <w:t>KRAIBURG TPE (</w:t>
      </w:r>
      <w:hyperlink r:id="rId21" w:history="1">
        <w:r w:rsidRPr="00704068">
          <w:rPr>
            <w:rStyle w:val="Hyperlink"/>
            <w:rFonts w:ascii="Arial" w:hAnsi="Arial" w:cs="Arial"/>
            <w:sz w:val="20"/>
            <w:lang w:val="fr-FR"/>
          </w:rPr>
          <w:t>/www.kraiburg-tpe.com</w:t>
        </w:r>
      </w:hyperlink>
      <w:r w:rsidRPr="00704068">
        <w:rPr>
          <w:rFonts w:ascii="Arial" w:hAnsi="Arial" w:cs="Arial"/>
          <w:color w:val="000000"/>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 COPEC®, HIPEX® et For Tec 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318CF174" w14:textId="150270E1" w:rsidR="00880AC8" w:rsidRPr="00704068" w:rsidRDefault="00880AC8" w:rsidP="00EB76B2">
      <w:pPr>
        <w:rPr>
          <w:rFonts w:ascii="Arial" w:hAnsi="Arial" w:cs="Arial"/>
          <w:color w:val="000000" w:themeColor="text1"/>
          <w:sz w:val="20"/>
          <w:lang w:val="fr-FR"/>
        </w:rPr>
      </w:pPr>
    </w:p>
    <w:sectPr w:rsidR="00880AC8" w:rsidRPr="00704068"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63A1" w14:textId="77777777" w:rsidR="0054497A" w:rsidRDefault="0054497A" w:rsidP="00784C57">
      <w:pPr>
        <w:spacing w:after="0" w:line="240" w:lineRule="auto"/>
      </w:pPr>
      <w:r>
        <w:separator/>
      </w:r>
    </w:p>
  </w:endnote>
  <w:endnote w:type="continuationSeparator" w:id="0">
    <w:p w14:paraId="589DFE7F" w14:textId="77777777" w:rsidR="0054497A" w:rsidRDefault="0054497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5AF7" w14:textId="77777777" w:rsidR="0054497A" w:rsidRDefault="0054497A" w:rsidP="00784C57">
      <w:pPr>
        <w:spacing w:after="0" w:line="240" w:lineRule="auto"/>
      </w:pPr>
      <w:r>
        <w:separator/>
      </w:r>
    </w:p>
  </w:footnote>
  <w:footnote w:type="continuationSeparator" w:id="0">
    <w:p w14:paraId="7129CC29" w14:textId="77777777" w:rsidR="0054497A" w:rsidRDefault="0054497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6B939BD5" w14:textId="0AD3C642" w:rsidR="00880AC8" w:rsidRPr="00B0608B" w:rsidRDefault="00880AC8" w:rsidP="00880AC8">
          <w:pPr>
            <w:spacing w:after="0" w:line="360" w:lineRule="auto"/>
            <w:jc w:val="both"/>
            <w:rPr>
              <w:rFonts w:ascii="Arial" w:hAnsi="Arial" w:cs="Arial"/>
              <w:b/>
              <w:bCs/>
              <w:sz w:val="16"/>
              <w:szCs w:val="16"/>
            </w:rPr>
          </w:pPr>
          <w:r>
            <w:rPr>
              <w:rFonts w:ascii="Arial" w:hAnsi="Arial"/>
              <w:b/>
              <w:sz w:val="16"/>
            </w:rPr>
            <w:t>KRAIBURG TPE présente de nouveaux Bio-</w:t>
          </w:r>
          <w:proofErr w:type="spellStart"/>
          <w:r>
            <w:rPr>
              <w:rFonts w:ascii="Arial" w:hAnsi="Arial"/>
              <w:b/>
              <w:sz w:val="16"/>
            </w:rPr>
            <w:t>based</w:t>
          </w:r>
          <w:proofErr w:type="spellEnd"/>
          <w:r>
            <w:rPr>
              <w:rFonts w:ascii="Arial" w:hAnsi="Arial"/>
              <w:b/>
              <w:sz w:val="16"/>
            </w:rPr>
            <w:t xml:space="preserve"> TPE</w:t>
          </w:r>
        </w:p>
        <w:p w14:paraId="0D8D862F" w14:textId="224CB02D"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octobre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3</w:t>
          </w:r>
          <w:r w:rsidR="00C2633B" w:rsidRPr="00B0608B">
            <w:rPr>
              <w:rFonts w:ascii="Arial" w:hAnsi="Arial" w:cs="Arial"/>
              <w:b/>
              <w:sz w:val="16"/>
            </w:rPr>
            <w:fldChar w:fldCharType="end"/>
          </w:r>
          <w:r>
            <w:rPr>
              <w:rFonts w:ascii="Arial" w:hAnsi="Arial"/>
              <w:b/>
              <w:sz w:val="16"/>
            </w:rPr>
            <w:t xml:space="preserve"> de </w:t>
          </w:r>
          <w:r w:rsidR="00850A1D">
            <w:fldChar w:fldCharType="begin"/>
          </w:r>
          <w:r w:rsidR="00850A1D">
            <w:instrText>NUMPAGES  \* Arabic  \* MERGEFORMAT</w:instrText>
          </w:r>
          <w:r w:rsidR="00850A1D">
            <w:fldChar w:fldCharType="separate"/>
          </w:r>
          <w:r w:rsidR="00041703" w:rsidRPr="00041703">
            <w:rPr>
              <w:rFonts w:ascii="Arial" w:hAnsi="Arial" w:cs="Arial"/>
              <w:b/>
              <w:sz w:val="16"/>
            </w:rPr>
            <w:t>4</w:t>
          </w:r>
          <w:r w:rsidR="00850A1D">
            <w:rPr>
              <w:rFonts w:ascii="Arial" w:hAnsi="Arial" w:cs="Arial"/>
              <w:b/>
              <w:sz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5E82D88E" w14:textId="632E2269"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présente de nouveaux Bio-</w:t>
          </w:r>
          <w:proofErr w:type="spellStart"/>
          <w:r>
            <w:rPr>
              <w:rFonts w:ascii="Arial" w:hAnsi="Arial"/>
              <w:b/>
              <w:sz w:val="16"/>
            </w:rPr>
            <w:t>based</w:t>
          </w:r>
          <w:proofErr w:type="spellEnd"/>
          <w:r>
            <w:rPr>
              <w:rFonts w:ascii="Arial" w:hAnsi="Arial"/>
              <w:b/>
              <w:sz w:val="16"/>
            </w:rPr>
            <w:t xml:space="preserve"> TPE</w:t>
          </w:r>
        </w:p>
        <w:p w14:paraId="5CBAA723" w14:textId="5E138785"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octobre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1</w:t>
          </w:r>
          <w:r w:rsidR="00C2633B" w:rsidRPr="00B0608B">
            <w:rPr>
              <w:rFonts w:ascii="Arial" w:hAnsi="Arial" w:cs="Arial"/>
              <w:b/>
              <w:sz w:val="16"/>
            </w:rPr>
            <w:fldChar w:fldCharType="end"/>
          </w:r>
          <w:r>
            <w:rPr>
              <w:rFonts w:ascii="Arial" w:hAnsi="Arial"/>
              <w:b/>
              <w:sz w:val="16"/>
            </w:rPr>
            <w:t xml:space="preserve"> de </w:t>
          </w:r>
          <w:r w:rsidR="00850A1D">
            <w:fldChar w:fldCharType="begin"/>
          </w:r>
          <w:r w:rsidR="00850A1D">
            <w:instrText>NUMPAGES  \* Arabic  \* MERGEFORMAT</w:instrText>
          </w:r>
          <w:r w:rsidR="00850A1D">
            <w:fldChar w:fldCharType="separate"/>
          </w:r>
          <w:r w:rsidR="00041703" w:rsidRPr="00041703">
            <w:rPr>
              <w:rFonts w:ascii="Arial" w:hAnsi="Arial" w:cs="Arial"/>
              <w:b/>
              <w:sz w:val="16"/>
            </w:rPr>
            <w:t>4</w:t>
          </w:r>
          <w:r w:rsidR="00850A1D">
            <w:rPr>
              <w:rFonts w:ascii="Arial" w:hAnsi="Arial" w:cs="Arial"/>
              <w:b/>
              <w:sz w:val="16"/>
            </w:rPr>
            <w:fldChar w:fldCharType="end"/>
          </w:r>
        </w:p>
      </w:tc>
      <w:tc>
        <w:tcPr>
          <w:tcW w:w="2977" w:type="dxa"/>
        </w:tcPr>
        <w:p w14:paraId="55452E72" w14:textId="77777777" w:rsidR="00502615" w:rsidRPr="00EB76B2" w:rsidRDefault="00502615" w:rsidP="00502615">
          <w:pPr>
            <w:pStyle w:val="Kopfzeile"/>
            <w:tabs>
              <w:tab w:val="clear" w:pos="4703"/>
              <w:tab w:val="clear" w:pos="9406"/>
            </w:tabs>
            <w:rPr>
              <w:rFonts w:ascii="Arial" w:hAnsi="Arial" w:cs="Arial"/>
              <w:sz w:val="16"/>
              <w:szCs w:val="16"/>
              <w:lang w:val="de-DE"/>
            </w:rPr>
          </w:pPr>
          <w:r w:rsidRPr="00EB76B2">
            <w:rPr>
              <w:rFonts w:ascii="Arial" w:hAnsi="Arial"/>
              <w:sz w:val="16"/>
              <w:lang w:val="de-DE"/>
            </w:rPr>
            <w:t>KRAIBURG TPE GmbH &amp; Co. KG</w:t>
          </w:r>
        </w:p>
        <w:p w14:paraId="5A13B7D6" w14:textId="77777777" w:rsidR="00502615" w:rsidRPr="00EB76B2" w:rsidRDefault="00502615" w:rsidP="00502615">
          <w:pPr>
            <w:pStyle w:val="Kopfzeile"/>
            <w:tabs>
              <w:tab w:val="clear" w:pos="4703"/>
              <w:tab w:val="clear" w:pos="9406"/>
            </w:tabs>
            <w:rPr>
              <w:rFonts w:ascii="Arial" w:hAnsi="Arial" w:cs="Arial"/>
              <w:sz w:val="16"/>
              <w:szCs w:val="16"/>
              <w:lang w:val="fr-FR"/>
            </w:rPr>
          </w:pPr>
          <w:r w:rsidRPr="008B46F6">
            <w:rPr>
              <w:rFonts w:ascii="Arial" w:hAnsi="Arial"/>
              <w:sz w:val="16"/>
              <w:lang w:val="de-DE"/>
            </w:rPr>
            <w:t xml:space="preserve">Friedrich-Schmidt-Str. </w:t>
          </w:r>
          <w:r w:rsidRPr="00EB76B2">
            <w:rPr>
              <w:rFonts w:ascii="Arial" w:hAnsi="Arial"/>
              <w:sz w:val="16"/>
              <w:lang w:val="fr-FR"/>
            </w:rPr>
            <w:t>2</w:t>
          </w:r>
        </w:p>
        <w:p w14:paraId="41806036" w14:textId="77777777" w:rsidR="00502615" w:rsidRPr="00EB76B2" w:rsidRDefault="00502615" w:rsidP="00502615">
          <w:pPr>
            <w:pStyle w:val="Kopfzeile"/>
            <w:tabs>
              <w:tab w:val="clear" w:pos="4703"/>
              <w:tab w:val="clear" w:pos="9406"/>
            </w:tabs>
            <w:rPr>
              <w:rFonts w:ascii="Arial" w:hAnsi="Arial" w:cs="Arial"/>
              <w:sz w:val="16"/>
              <w:szCs w:val="16"/>
              <w:lang w:val="fr-FR"/>
            </w:rPr>
          </w:pPr>
          <w:r w:rsidRPr="00EB76B2">
            <w:rPr>
              <w:rFonts w:ascii="Arial" w:hAnsi="Arial"/>
              <w:sz w:val="16"/>
              <w:lang w:val="fr-FR"/>
            </w:rPr>
            <w:t xml:space="preserve">84478 </w:t>
          </w:r>
          <w:proofErr w:type="spellStart"/>
          <w:r w:rsidRPr="00EB76B2">
            <w:rPr>
              <w:rFonts w:ascii="Arial" w:hAnsi="Arial"/>
              <w:sz w:val="16"/>
              <w:lang w:val="fr-FR"/>
            </w:rPr>
            <w:t>Waldkraiburg</w:t>
          </w:r>
          <w:proofErr w:type="spellEnd"/>
        </w:p>
        <w:p w14:paraId="74F7DECA" w14:textId="77777777" w:rsidR="00502615" w:rsidRPr="00EB76B2" w:rsidRDefault="00FB6011" w:rsidP="00502615">
          <w:pPr>
            <w:pStyle w:val="Kopfzeile"/>
            <w:tabs>
              <w:tab w:val="clear" w:pos="4703"/>
              <w:tab w:val="clear" w:pos="9406"/>
            </w:tabs>
            <w:rPr>
              <w:rFonts w:ascii="Arial" w:hAnsi="Arial" w:cs="Arial"/>
              <w:sz w:val="16"/>
              <w:szCs w:val="16"/>
              <w:lang w:val="fr-FR"/>
            </w:rPr>
          </w:pPr>
          <w:r w:rsidRPr="00EB76B2">
            <w:rPr>
              <w:rFonts w:ascii="Arial" w:hAnsi="Arial"/>
              <w:sz w:val="16"/>
              <w:lang w:val="fr-FR"/>
            </w:rPr>
            <w:t>Allemagne</w:t>
          </w:r>
        </w:p>
        <w:p w14:paraId="642AF027" w14:textId="77777777" w:rsidR="00502615" w:rsidRPr="00EB76B2" w:rsidRDefault="00502615" w:rsidP="00502615">
          <w:pPr>
            <w:pStyle w:val="Kopfzeile"/>
            <w:tabs>
              <w:tab w:val="clear" w:pos="4703"/>
              <w:tab w:val="clear" w:pos="9406"/>
            </w:tabs>
            <w:rPr>
              <w:rFonts w:ascii="Arial" w:hAnsi="Arial" w:cs="Arial"/>
              <w:sz w:val="16"/>
              <w:szCs w:val="16"/>
              <w:lang w:val="fr-FR"/>
            </w:rPr>
          </w:pPr>
        </w:p>
        <w:p w14:paraId="5E4C0346" w14:textId="77777777" w:rsidR="00C97AAF" w:rsidRPr="00EB76B2" w:rsidRDefault="00C97AAF" w:rsidP="00C97AAF">
          <w:pPr>
            <w:pStyle w:val="Kopfzeile"/>
            <w:tabs>
              <w:tab w:val="clear" w:pos="4703"/>
              <w:tab w:val="clear" w:pos="9406"/>
            </w:tabs>
            <w:rPr>
              <w:rFonts w:ascii="Arial" w:hAnsi="Arial" w:cs="Arial"/>
              <w:sz w:val="16"/>
              <w:szCs w:val="16"/>
              <w:lang w:val="fr-FR"/>
            </w:rPr>
          </w:pPr>
          <w:r w:rsidRPr="00EB76B2">
            <w:rPr>
              <w:rFonts w:ascii="Arial" w:hAnsi="Arial"/>
              <w:sz w:val="16"/>
              <w:lang w:val="fr-FR"/>
            </w:rPr>
            <w:t>Téléphone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8B46F6" w:rsidRDefault="00502615" w:rsidP="00502615">
          <w:pPr>
            <w:pStyle w:val="Kopfzeile"/>
            <w:tabs>
              <w:tab w:val="clear" w:pos="4703"/>
              <w:tab w:val="clear" w:pos="9406"/>
            </w:tabs>
            <w:rPr>
              <w:rFonts w:ascii="Arial" w:hAnsi="Arial" w:cs="Arial"/>
              <w:sz w:val="16"/>
              <w:szCs w:val="16"/>
              <w:lang w:val="fr-FR"/>
            </w:rPr>
          </w:pPr>
        </w:p>
        <w:p w14:paraId="0E3B4FAC" w14:textId="305047B5" w:rsidR="00502615" w:rsidRPr="00B0608B" w:rsidRDefault="00850A1D" w:rsidP="00D07FA6">
          <w:pPr>
            <w:pStyle w:val="Kopfzeile"/>
            <w:tabs>
              <w:tab w:val="clear" w:pos="4703"/>
              <w:tab w:val="clear" w:pos="9406"/>
            </w:tabs>
            <w:rPr>
              <w:rFonts w:ascii="Arial" w:hAnsi="Arial" w:cs="Arial"/>
              <w:sz w:val="16"/>
              <w:szCs w:val="16"/>
            </w:rPr>
          </w:pPr>
          <w:hyperlink r:id="rId2" w:history="1">
            <w:r w:rsidR="00F924E4">
              <w:rPr>
                <w:rStyle w:val="Hyperlink"/>
                <w:rFonts w:ascii="Arial" w:hAnsi="Arial"/>
                <w:color w:val="auto"/>
                <w:sz w:val="16"/>
                <w:u w:val="none"/>
              </w:rPr>
              <w:t>info@kraiburg-tpe.com</w:t>
            </w:r>
          </w:hyperlink>
        </w:p>
        <w:p w14:paraId="146C282B" w14:textId="0F7D01A9" w:rsidR="00502615" w:rsidRPr="00B0608B" w:rsidRDefault="00850A1D" w:rsidP="00D07FA6">
          <w:pPr>
            <w:pStyle w:val="Kopfzeile"/>
            <w:tabs>
              <w:tab w:val="clear" w:pos="4703"/>
              <w:tab w:val="clear" w:pos="9406"/>
            </w:tabs>
            <w:rPr>
              <w:sz w:val="20"/>
            </w:rPr>
          </w:pPr>
          <w:hyperlink r:id="rId3" w:history="1">
            <w:r w:rsidR="00F924E4">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6D1FE05C" w14:textId="77777777" w:rsidR="006A7575" w:rsidRPr="008B46F6" w:rsidRDefault="006A7575" w:rsidP="004F607A">
                          <w:pPr>
                            <w:pStyle w:val="Textkrper-Zeileneinzug"/>
                            <w:spacing w:line="240" w:lineRule="auto"/>
                            <w:ind w:left="0"/>
                            <w:rPr>
                              <w:bCs/>
                              <w:sz w:val="16"/>
                              <w:szCs w:val="16"/>
                              <w:lang w:val="fr-FR"/>
                            </w:rPr>
                          </w:pPr>
                        </w:p>
                        <w:p w14:paraId="7AEF244D" w14:textId="343C901A" w:rsidR="00280BA4" w:rsidRPr="00B0608B" w:rsidRDefault="00280BA4" w:rsidP="004F607A">
                          <w:pPr>
                            <w:pStyle w:val="Textkrper-Zeileneinzug"/>
                            <w:spacing w:line="240" w:lineRule="auto"/>
                            <w:ind w:left="0"/>
                            <w:rPr>
                              <w:iCs w:val="0"/>
                              <w:sz w:val="16"/>
                            </w:rPr>
                          </w:pPr>
                          <w:r>
                            <w:rPr>
                              <w:sz w:val="16"/>
                            </w:rPr>
                            <w:t>Europe, Moyen-Orient &amp; Afrique</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761B47"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761B47" w:rsidRDefault="004F607A" w:rsidP="004F607A">
                          <w:pPr>
                            <w:pStyle w:val="Textkrper-Zeileneinzug"/>
                            <w:spacing w:line="240" w:lineRule="auto"/>
                            <w:ind w:left="0"/>
                            <w:rPr>
                              <w:i w:val="0"/>
                              <w:sz w:val="16"/>
                              <w:szCs w:val="16"/>
                            </w:rPr>
                          </w:pPr>
                          <w:r>
                            <w:rPr>
                              <w:i w:val="0"/>
                              <w:sz w:val="16"/>
                            </w:rPr>
                            <w:t>Tél. +49 8638 9810 568</w:t>
                          </w:r>
                        </w:p>
                        <w:p w14:paraId="52FF5904" w14:textId="4DB6FFD7" w:rsidR="006A7575" w:rsidRPr="00761B47" w:rsidRDefault="00850A1D" w:rsidP="004F607A">
                          <w:pPr>
                            <w:pStyle w:val="Textkrper-Zeileneinzug"/>
                            <w:spacing w:line="240" w:lineRule="auto"/>
                            <w:ind w:left="0"/>
                            <w:rPr>
                              <w:rStyle w:val="Hyperlink"/>
                              <w:i w:val="0"/>
                              <w:sz w:val="16"/>
                            </w:rPr>
                          </w:pPr>
                          <w:hyperlink r:id="rId4" w:history="1">
                            <w:r w:rsidR="00F924E4">
                              <w:rPr>
                                <w:rStyle w:val="Hyperlink"/>
                                <w:i w:val="0"/>
                                <w:sz w:val="16"/>
                              </w:rPr>
                              <w:t>juliane.schmidhuber@kraiburg-tpe.com</w:t>
                            </w:r>
                          </w:hyperlink>
                        </w:p>
                        <w:p w14:paraId="2906C00D" w14:textId="77777777" w:rsidR="006A7575" w:rsidRPr="00761B47" w:rsidRDefault="006A7575" w:rsidP="004F607A">
                          <w:pPr>
                            <w:pStyle w:val="Textkrper-Zeileneinzug"/>
                            <w:spacing w:line="240" w:lineRule="auto"/>
                            <w:ind w:left="0"/>
                            <w:rPr>
                              <w:bCs/>
                              <w:sz w:val="16"/>
                              <w:szCs w:val="16"/>
                              <w:lang w:val="fr-FR"/>
                            </w:rPr>
                          </w:pPr>
                        </w:p>
                        <w:p w14:paraId="03028526" w14:textId="77777777" w:rsidR="004F607A" w:rsidRPr="00761B47" w:rsidRDefault="004F607A" w:rsidP="004F607A">
                          <w:pPr>
                            <w:pStyle w:val="Textkrper-Zeileneinzug"/>
                            <w:spacing w:line="240" w:lineRule="auto"/>
                            <w:ind w:left="0"/>
                            <w:rPr>
                              <w:iCs w:val="0"/>
                              <w:sz w:val="16"/>
                            </w:rPr>
                          </w:pPr>
                          <w:r>
                            <w:rPr>
                              <w:sz w:val="16"/>
                            </w:rPr>
                            <w:t>Région Asie-Pacifique</w:t>
                          </w:r>
                        </w:p>
                        <w:p w14:paraId="12BAAECA" w14:textId="77777777" w:rsidR="004F607A" w:rsidRPr="008B46F6" w:rsidRDefault="004F607A" w:rsidP="004F607A">
                          <w:pPr>
                            <w:pStyle w:val="Kopfzeile"/>
                            <w:rPr>
                              <w:rFonts w:ascii="Arial" w:hAnsi="Arial" w:cs="Arial"/>
                              <w:sz w:val="16"/>
                              <w:szCs w:val="16"/>
                              <w:lang w:val="en-GB"/>
                            </w:rPr>
                          </w:pPr>
                          <w:r w:rsidRPr="008B46F6">
                            <w:rPr>
                              <w:rFonts w:ascii="Arial" w:hAnsi="Arial"/>
                              <w:sz w:val="16"/>
                              <w:lang w:val="en-GB"/>
                            </w:rPr>
                            <w:t>Bridget Ngang</w:t>
                          </w:r>
                        </w:p>
                        <w:p w14:paraId="1ED046C4" w14:textId="77777777" w:rsidR="004F607A" w:rsidRPr="008B46F6" w:rsidRDefault="004F607A" w:rsidP="004F607A">
                          <w:pPr>
                            <w:pStyle w:val="Kopfzeile"/>
                            <w:rPr>
                              <w:rFonts w:ascii="Arial" w:hAnsi="Arial" w:cs="Arial"/>
                              <w:sz w:val="16"/>
                              <w:szCs w:val="16"/>
                              <w:lang w:val="en-GB"/>
                            </w:rPr>
                          </w:pPr>
                          <w:r w:rsidRPr="008B46F6">
                            <w:rPr>
                              <w:rFonts w:ascii="Arial" w:hAnsi="Arial"/>
                              <w:sz w:val="16"/>
                              <w:lang w:val="en-GB"/>
                            </w:rPr>
                            <w:t>Marketing Manager Asia Pacific</w:t>
                          </w:r>
                        </w:p>
                        <w:p w14:paraId="37378D58" w14:textId="77777777" w:rsidR="004F607A" w:rsidRPr="00761B47" w:rsidRDefault="004F607A" w:rsidP="004F607A">
                          <w:pPr>
                            <w:pStyle w:val="Kopfzeile"/>
                            <w:rPr>
                              <w:rFonts w:ascii="Arial" w:hAnsi="Arial" w:cs="Arial"/>
                              <w:sz w:val="16"/>
                              <w:szCs w:val="16"/>
                            </w:rPr>
                          </w:pPr>
                          <w:r>
                            <w:rPr>
                              <w:rFonts w:ascii="Arial" w:hAnsi="Arial"/>
                              <w:sz w:val="16"/>
                            </w:rPr>
                            <w:t>Tél: +603 9545 6301</w:t>
                          </w:r>
                        </w:p>
                        <w:p w14:paraId="69362F06" w14:textId="0B85F3E6" w:rsidR="004F607A" w:rsidRPr="00761B47" w:rsidRDefault="00850A1D" w:rsidP="004F607A">
                          <w:pPr>
                            <w:pStyle w:val="Kopfzeile"/>
                            <w:rPr>
                              <w:rStyle w:val="Hyperlink"/>
                              <w:rFonts w:ascii="Arial" w:hAnsi="Arial" w:cs="Arial"/>
                              <w:color w:val="auto"/>
                              <w:sz w:val="16"/>
                              <w:szCs w:val="16"/>
                              <w:u w:val="none"/>
                            </w:rPr>
                          </w:pPr>
                          <w:hyperlink r:id="rId5" w:history="1">
                            <w:r w:rsidR="00F924E4">
                              <w:rPr>
                                <w:rStyle w:val="Hyperlink"/>
                                <w:rFonts w:ascii="Arial" w:hAnsi="Arial"/>
                                <w:sz w:val="16"/>
                              </w:rPr>
                              <w:t>bridget.ngang@kraiburg-tpe.com</w:t>
                            </w:r>
                          </w:hyperlink>
                        </w:p>
                        <w:p w14:paraId="5EB6F303" w14:textId="77777777" w:rsidR="004F607A" w:rsidRPr="008B46F6" w:rsidRDefault="004F607A" w:rsidP="004F607A">
                          <w:pPr>
                            <w:pStyle w:val="Textkrper-Zeileneinzug"/>
                            <w:spacing w:line="240" w:lineRule="auto"/>
                            <w:ind w:left="0"/>
                            <w:rPr>
                              <w:bCs/>
                              <w:sz w:val="16"/>
                              <w:szCs w:val="16"/>
                              <w:lang w:val="fr-FR"/>
                            </w:rPr>
                          </w:pPr>
                        </w:p>
                        <w:p w14:paraId="21832811" w14:textId="235D27FC" w:rsidR="00A00F51" w:rsidRPr="00761B47" w:rsidRDefault="00A00F51" w:rsidP="00A00F51">
                          <w:pPr>
                            <w:pStyle w:val="Kopfzeile"/>
                            <w:rPr>
                              <w:rFonts w:ascii="Arial" w:eastAsia="Times New Roman" w:hAnsi="Arial" w:cs="Arial"/>
                              <w:i/>
                              <w:sz w:val="16"/>
                              <w:szCs w:val="20"/>
                            </w:rPr>
                          </w:pPr>
                          <w:r>
                            <w:rPr>
                              <w:rFonts w:ascii="Arial" w:hAnsi="Arial"/>
                              <w:i/>
                              <w:sz w:val="16"/>
                            </w:rPr>
                            <w:t>Amérique</w:t>
                          </w:r>
                        </w:p>
                        <w:p w14:paraId="2284B219" w14:textId="31B66FEA" w:rsidR="00A00F51" w:rsidRPr="00A00F51" w:rsidRDefault="00A00F51" w:rsidP="00A00F51">
                          <w:pPr>
                            <w:pStyle w:val="Kopfzeile"/>
                            <w:rPr>
                              <w:rFonts w:ascii="Arial" w:eastAsia="Times New Roman" w:hAnsi="Arial" w:cs="Arial"/>
                              <w:i/>
                              <w:sz w:val="16"/>
                              <w:szCs w:val="20"/>
                            </w:rPr>
                          </w:pPr>
                          <w:r>
                            <w:rPr>
                              <w:rFonts w:ascii="Arial" w:hAnsi="Arial"/>
                              <w:i/>
                              <w:sz w:val="16"/>
                            </w:rPr>
                            <w:t>Mirna Pina</w:t>
                          </w:r>
                        </w:p>
                        <w:p w14:paraId="3FA4E03A" w14:textId="77323616" w:rsidR="00A00F51" w:rsidRPr="00AA4BDB" w:rsidRDefault="00A00F51" w:rsidP="00A00F51">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333AF8EC" w14:textId="370E0F24" w:rsidR="00A00F51" w:rsidRPr="00A00F51" w:rsidRDefault="00A00F51" w:rsidP="00A00F51">
                          <w:pPr>
                            <w:pStyle w:val="Kopfzeile"/>
                            <w:rPr>
                              <w:rFonts w:ascii="Arial" w:hAnsi="Arial" w:cs="Arial"/>
                              <w:sz w:val="16"/>
                              <w:szCs w:val="16"/>
                            </w:rPr>
                          </w:pPr>
                          <w:r>
                            <w:rPr>
                              <w:rFonts w:ascii="Arial" w:hAnsi="Arial"/>
                              <w:sz w:val="16"/>
                            </w:rPr>
                            <w:t>Tél: +1 470 514-2458</w:t>
                          </w:r>
                        </w:p>
                        <w:p w14:paraId="786C4621" w14:textId="3AA6A8C0" w:rsidR="00A00F51" w:rsidRPr="00A00F51" w:rsidRDefault="00850A1D" w:rsidP="00A00F51">
                          <w:pPr>
                            <w:pStyle w:val="Kopfzeile"/>
                            <w:rPr>
                              <w:rStyle w:val="Hyperlink"/>
                              <w:rFonts w:ascii="Arial" w:hAnsi="Arial" w:cs="Arial"/>
                              <w:color w:val="auto"/>
                              <w:sz w:val="16"/>
                              <w:szCs w:val="16"/>
                              <w:u w:val="none"/>
                            </w:rPr>
                          </w:pPr>
                          <w:hyperlink r:id="rId6" w:history="1">
                            <w:r w:rsidR="00F924E4">
                              <w:rPr>
                                <w:rStyle w:val="Hyperlink"/>
                                <w:rFonts w:ascii="Arial" w:hAnsi="Arial"/>
                                <w:sz w:val="16"/>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6D1FE05C" w14:textId="77777777" w:rsidR="006A7575" w:rsidRPr="008B46F6" w:rsidRDefault="006A7575" w:rsidP="004F607A">
                    <w:pPr>
                      <w:pStyle w:val="Textkrper-Zeileneinzug"/>
                      <w:spacing w:line="240" w:lineRule="auto"/>
                      <w:ind w:left="0"/>
                      <w:rPr>
                        <w:bCs/>
                        <w:sz w:val="16"/>
                        <w:szCs w:val="16"/>
                        <w:lang w:val="fr-FR"/>
                      </w:rPr>
                    </w:pPr>
                  </w:p>
                  <w:p w14:paraId="7AEF244D" w14:textId="343C901A" w:rsidR="00280BA4" w:rsidRPr="00B0608B" w:rsidRDefault="00280BA4" w:rsidP="004F607A">
                    <w:pPr>
                      <w:pStyle w:val="Textkrper-Zeileneinzug"/>
                      <w:spacing w:line="240" w:lineRule="auto"/>
                      <w:ind w:left="0"/>
                      <w:rPr>
                        <w:iCs w:val="0"/>
                        <w:sz w:val="16"/>
                      </w:rPr>
                    </w:pPr>
                    <w:r>
                      <w:rPr>
                        <w:sz w:val="16"/>
                      </w:rPr>
                      <w:t>Europe, Moyen-Orient &amp; Afrique</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 xml:space="preserve">Juliane </w:t>
                    </w:r>
                    <w:proofErr w:type="spellStart"/>
                    <w:r>
                      <w:rPr>
                        <w:i w:val="0"/>
                        <w:sz w:val="16"/>
                      </w:rPr>
                      <w:t>Schmidhuber</w:t>
                    </w:r>
                    <w:proofErr w:type="spellEnd"/>
                  </w:p>
                  <w:p w14:paraId="062FFD57" w14:textId="77777777" w:rsidR="00E07B9C" w:rsidRPr="00761B47"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761B47" w:rsidRDefault="004F607A" w:rsidP="004F607A">
                    <w:pPr>
                      <w:pStyle w:val="Textkrper-Zeileneinzug"/>
                      <w:spacing w:line="240" w:lineRule="auto"/>
                      <w:ind w:left="0"/>
                      <w:rPr>
                        <w:i w:val="0"/>
                        <w:sz w:val="16"/>
                        <w:szCs w:val="16"/>
                      </w:rPr>
                    </w:pPr>
                    <w:r>
                      <w:rPr>
                        <w:i w:val="0"/>
                        <w:sz w:val="16"/>
                      </w:rPr>
                      <w:t>Tél. +49 8638 9810 568</w:t>
                    </w:r>
                  </w:p>
                  <w:p w14:paraId="52FF5904" w14:textId="4DB6FFD7" w:rsidR="006A7575" w:rsidRPr="00761B47" w:rsidRDefault="00675021" w:rsidP="004F607A">
                    <w:pPr>
                      <w:pStyle w:val="Textkrper-Zeileneinzug"/>
                      <w:spacing w:line="240" w:lineRule="auto"/>
                      <w:ind w:left="0"/>
                      <w:rPr>
                        <w:rStyle w:val="Hyperlink"/>
                        <w:i w:val="0"/>
                        <w:sz w:val="16"/>
                      </w:rPr>
                    </w:pPr>
                    <w:hyperlink r:id="rId7" w:history="1">
                      <w:r w:rsidR="00F924E4">
                        <w:rPr>
                          <w:rStyle w:val="Hyperlink"/>
                          <w:i w:val="0"/>
                          <w:sz w:val="16"/>
                        </w:rPr>
                        <w:t>juliane.schmidhuber@kraiburg-tpe.com</w:t>
                      </w:r>
                    </w:hyperlink>
                  </w:p>
                  <w:p w14:paraId="2906C00D" w14:textId="77777777" w:rsidR="006A7575" w:rsidRPr="00761B47" w:rsidRDefault="006A7575" w:rsidP="004F607A">
                    <w:pPr>
                      <w:pStyle w:val="Textkrper-Zeileneinzug"/>
                      <w:spacing w:line="240" w:lineRule="auto"/>
                      <w:ind w:left="0"/>
                      <w:rPr>
                        <w:bCs/>
                        <w:sz w:val="16"/>
                        <w:szCs w:val="16"/>
                        <w:lang w:val="fr-FR"/>
                      </w:rPr>
                    </w:pPr>
                  </w:p>
                  <w:p w14:paraId="03028526" w14:textId="77777777" w:rsidR="004F607A" w:rsidRPr="00761B47" w:rsidRDefault="004F607A" w:rsidP="004F607A">
                    <w:pPr>
                      <w:pStyle w:val="Textkrper-Zeileneinzug"/>
                      <w:spacing w:line="240" w:lineRule="auto"/>
                      <w:ind w:left="0"/>
                      <w:rPr>
                        <w:iCs w:val="0"/>
                        <w:sz w:val="16"/>
                      </w:rPr>
                    </w:pPr>
                    <w:r>
                      <w:rPr>
                        <w:sz w:val="16"/>
                      </w:rPr>
                      <w:t>Région Asie-Pacifique</w:t>
                    </w:r>
                  </w:p>
                  <w:p w14:paraId="12BAAECA" w14:textId="77777777" w:rsidR="004F607A" w:rsidRPr="008B46F6" w:rsidRDefault="004F607A" w:rsidP="004F607A">
                    <w:pPr>
                      <w:pStyle w:val="Kopfzeile"/>
                      <w:rPr>
                        <w:rFonts w:ascii="Arial" w:hAnsi="Arial" w:cs="Arial"/>
                        <w:sz w:val="16"/>
                        <w:szCs w:val="16"/>
                        <w:lang w:val="en-GB"/>
                      </w:rPr>
                    </w:pPr>
                    <w:r w:rsidRPr="008B46F6">
                      <w:rPr>
                        <w:rFonts w:ascii="Arial" w:hAnsi="Arial"/>
                        <w:sz w:val="16"/>
                        <w:lang w:val="en-GB"/>
                      </w:rPr>
                      <w:t>Bridget Ngang</w:t>
                    </w:r>
                  </w:p>
                  <w:p w14:paraId="1ED046C4" w14:textId="77777777" w:rsidR="004F607A" w:rsidRPr="008B46F6" w:rsidRDefault="004F607A" w:rsidP="004F607A">
                    <w:pPr>
                      <w:pStyle w:val="Kopfzeile"/>
                      <w:rPr>
                        <w:rFonts w:ascii="Arial" w:hAnsi="Arial" w:cs="Arial"/>
                        <w:sz w:val="16"/>
                        <w:szCs w:val="16"/>
                        <w:lang w:val="en-GB"/>
                      </w:rPr>
                    </w:pPr>
                    <w:r w:rsidRPr="008B46F6">
                      <w:rPr>
                        <w:rFonts w:ascii="Arial" w:hAnsi="Arial"/>
                        <w:sz w:val="16"/>
                        <w:lang w:val="en-GB"/>
                      </w:rPr>
                      <w:t>Marketing Manager Asia Pacific</w:t>
                    </w:r>
                  </w:p>
                  <w:p w14:paraId="37378D58" w14:textId="77777777" w:rsidR="004F607A" w:rsidRPr="00761B47" w:rsidRDefault="004F607A" w:rsidP="004F607A">
                    <w:pPr>
                      <w:pStyle w:val="Kopfzeile"/>
                      <w:rPr>
                        <w:rFonts w:ascii="Arial" w:hAnsi="Arial" w:cs="Arial"/>
                        <w:sz w:val="16"/>
                        <w:szCs w:val="16"/>
                      </w:rPr>
                    </w:pPr>
                    <w:proofErr w:type="gramStart"/>
                    <w:r>
                      <w:rPr>
                        <w:rFonts w:ascii="Arial" w:hAnsi="Arial"/>
                        <w:sz w:val="16"/>
                      </w:rPr>
                      <w:t>Tél:</w:t>
                    </w:r>
                    <w:proofErr w:type="gramEnd"/>
                    <w:r>
                      <w:rPr>
                        <w:rFonts w:ascii="Arial" w:hAnsi="Arial"/>
                        <w:sz w:val="16"/>
                      </w:rPr>
                      <w:t xml:space="preserve"> +603 9545 6301</w:t>
                    </w:r>
                  </w:p>
                  <w:p w14:paraId="69362F06" w14:textId="0B85F3E6" w:rsidR="004F607A" w:rsidRPr="00761B47" w:rsidRDefault="00675021" w:rsidP="004F607A">
                    <w:pPr>
                      <w:pStyle w:val="Kopfzeile"/>
                      <w:rPr>
                        <w:rStyle w:val="Hyperlink"/>
                        <w:rFonts w:ascii="Arial" w:hAnsi="Arial" w:cs="Arial"/>
                        <w:color w:val="auto"/>
                        <w:sz w:val="16"/>
                        <w:szCs w:val="16"/>
                        <w:u w:val="none"/>
                      </w:rPr>
                    </w:pPr>
                    <w:hyperlink r:id="rId8" w:history="1">
                      <w:r w:rsidR="00F924E4">
                        <w:rPr>
                          <w:rStyle w:val="Hyperlink"/>
                          <w:rFonts w:ascii="Arial" w:hAnsi="Arial"/>
                          <w:sz w:val="16"/>
                        </w:rPr>
                        <w:t>bridget.ngang@kraiburg-tpe.com</w:t>
                      </w:r>
                    </w:hyperlink>
                  </w:p>
                  <w:p w14:paraId="5EB6F303" w14:textId="77777777" w:rsidR="004F607A" w:rsidRPr="008B46F6" w:rsidRDefault="004F607A" w:rsidP="004F607A">
                    <w:pPr>
                      <w:pStyle w:val="Textkrper-Zeileneinzug"/>
                      <w:spacing w:line="240" w:lineRule="auto"/>
                      <w:ind w:left="0"/>
                      <w:rPr>
                        <w:bCs/>
                        <w:sz w:val="16"/>
                        <w:szCs w:val="16"/>
                        <w:lang w:val="fr-FR"/>
                      </w:rPr>
                    </w:pPr>
                  </w:p>
                  <w:p w14:paraId="21832811" w14:textId="235D27FC" w:rsidR="00A00F51" w:rsidRPr="00761B47" w:rsidRDefault="00A00F51" w:rsidP="00A00F51">
                    <w:pPr>
                      <w:pStyle w:val="Kopfzeile"/>
                      <w:rPr>
                        <w:rFonts w:ascii="Arial" w:eastAsia="Times New Roman" w:hAnsi="Arial" w:cs="Arial"/>
                        <w:i/>
                        <w:sz w:val="16"/>
                        <w:szCs w:val="20"/>
                      </w:rPr>
                    </w:pPr>
                    <w:r>
                      <w:rPr>
                        <w:rFonts w:ascii="Arial" w:hAnsi="Arial"/>
                        <w:i/>
                        <w:sz w:val="16"/>
                      </w:rPr>
                      <w:t>Amérique</w:t>
                    </w:r>
                  </w:p>
                  <w:p w14:paraId="2284B219" w14:textId="31B66FEA" w:rsidR="00A00F51" w:rsidRPr="00A00F51" w:rsidRDefault="00A00F51" w:rsidP="00A00F51">
                    <w:pPr>
                      <w:pStyle w:val="Kopfzeile"/>
                      <w:rPr>
                        <w:rFonts w:ascii="Arial" w:eastAsia="Times New Roman" w:hAnsi="Arial" w:cs="Arial"/>
                        <w:i/>
                        <w:sz w:val="16"/>
                        <w:szCs w:val="20"/>
                      </w:rPr>
                    </w:pPr>
                    <w:proofErr w:type="spellStart"/>
                    <w:r>
                      <w:rPr>
                        <w:rFonts w:ascii="Arial" w:hAnsi="Arial"/>
                        <w:i/>
                        <w:sz w:val="16"/>
                      </w:rPr>
                      <w:t>Mirna</w:t>
                    </w:r>
                    <w:proofErr w:type="spellEnd"/>
                    <w:r>
                      <w:rPr>
                        <w:rFonts w:ascii="Arial" w:hAnsi="Arial"/>
                        <w:i/>
                        <w:sz w:val="16"/>
                      </w:rPr>
                      <w:t xml:space="preserve"> Pina</w:t>
                    </w:r>
                  </w:p>
                  <w:p w14:paraId="3FA4E03A" w14:textId="77323616" w:rsidR="00A00F51" w:rsidRPr="00AA4BDB" w:rsidRDefault="00A00F51" w:rsidP="00A00F51">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333AF8EC" w14:textId="370E0F24" w:rsidR="00A00F51" w:rsidRPr="00A00F51" w:rsidRDefault="00A00F51" w:rsidP="00A00F51">
                    <w:pPr>
                      <w:pStyle w:val="Kopfzeile"/>
                      <w:rPr>
                        <w:rFonts w:ascii="Arial" w:hAnsi="Arial" w:cs="Arial"/>
                        <w:sz w:val="16"/>
                        <w:szCs w:val="16"/>
                      </w:rPr>
                    </w:pPr>
                    <w:proofErr w:type="gramStart"/>
                    <w:r>
                      <w:rPr>
                        <w:rFonts w:ascii="Arial" w:hAnsi="Arial"/>
                        <w:sz w:val="16"/>
                      </w:rPr>
                      <w:t>Tél:</w:t>
                    </w:r>
                    <w:proofErr w:type="gramEnd"/>
                    <w:r>
                      <w:rPr>
                        <w:rFonts w:ascii="Arial" w:hAnsi="Arial"/>
                        <w:sz w:val="16"/>
                      </w:rPr>
                      <w:t xml:space="preserve"> +1 470 514-2458</w:t>
                    </w:r>
                  </w:p>
                  <w:p w14:paraId="786C4621" w14:textId="3AA6A8C0" w:rsidR="00A00F51" w:rsidRPr="00A00F51" w:rsidRDefault="00675021" w:rsidP="00A00F51">
                    <w:pPr>
                      <w:pStyle w:val="Kopfzeile"/>
                      <w:rPr>
                        <w:rStyle w:val="Hyperlink"/>
                        <w:rFonts w:ascii="Arial" w:hAnsi="Arial" w:cs="Arial"/>
                        <w:color w:val="auto"/>
                        <w:sz w:val="16"/>
                        <w:szCs w:val="16"/>
                        <w:u w:val="none"/>
                      </w:rPr>
                    </w:pPr>
                    <w:hyperlink r:id="rId9" w:history="1">
                      <w:r w:rsidR="00F924E4">
                        <w:rPr>
                          <w:rStyle w:val="Hyperlink"/>
                          <w:rFonts w:ascii="Arial" w:hAnsi="Arial"/>
                          <w:sz w:val="16"/>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215B5"/>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16EE"/>
    <w:rsid w:val="001C4EAE"/>
    <w:rsid w:val="00201710"/>
    <w:rsid w:val="00225FD8"/>
    <w:rsid w:val="0022610A"/>
    <w:rsid w:val="00235BA5"/>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1947"/>
    <w:rsid w:val="00494AD5"/>
    <w:rsid w:val="004A2B03"/>
    <w:rsid w:val="004A62E0"/>
    <w:rsid w:val="004C6E24"/>
    <w:rsid w:val="004D5BAF"/>
    <w:rsid w:val="004F2512"/>
    <w:rsid w:val="004F607A"/>
    <w:rsid w:val="005011E4"/>
    <w:rsid w:val="00502615"/>
    <w:rsid w:val="0050419E"/>
    <w:rsid w:val="00525CEA"/>
    <w:rsid w:val="00537CE9"/>
    <w:rsid w:val="0054497A"/>
    <w:rsid w:val="00550C61"/>
    <w:rsid w:val="005C60F8"/>
    <w:rsid w:val="005D467D"/>
    <w:rsid w:val="005D6AE6"/>
    <w:rsid w:val="005E1C3F"/>
    <w:rsid w:val="00614013"/>
    <w:rsid w:val="00621DDB"/>
    <w:rsid w:val="00630B26"/>
    <w:rsid w:val="00652714"/>
    <w:rsid w:val="00661BAB"/>
    <w:rsid w:val="006709AB"/>
    <w:rsid w:val="00674DA8"/>
    <w:rsid w:val="006840C4"/>
    <w:rsid w:val="006A2571"/>
    <w:rsid w:val="006A7575"/>
    <w:rsid w:val="006B0D90"/>
    <w:rsid w:val="006B1DAF"/>
    <w:rsid w:val="006B33D8"/>
    <w:rsid w:val="006C59A3"/>
    <w:rsid w:val="006C59C9"/>
    <w:rsid w:val="006D0902"/>
    <w:rsid w:val="006D12C3"/>
    <w:rsid w:val="006E4B80"/>
    <w:rsid w:val="006E65CF"/>
    <w:rsid w:val="006F4EAE"/>
    <w:rsid w:val="00703326"/>
    <w:rsid w:val="00704068"/>
    <w:rsid w:val="0071575E"/>
    <w:rsid w:val="00717F62"/>
    <w:rsid w:val="00724DF8"/>
    <w:rsid w:val="00744F3B"/>
    <w:rsid w:val="00752CEF"/>
    <w:rsid w:val="00761B47"/>
    <w:rsid w:val="0078239C"/>
    <w:rsid w:val="007831E2"/>
    <w:rsid w:val="00784C57"/>
    <w:rsid w:val="00794FE0"/>
    <w:rsid w:val="007B4C2D"/>
    <w:rsid w:val="007D7444"/>
    <w:rsid w:val="007F1877"/>
    <w:rsid w:val="007F3C04"/>
    <w:rsid w:val="007F3DBF"/>
    <w:rsid w:val="008313F0"/>
    <w:rsid w:val="0083635C"/>
    <w:rsid w:val="008477CA"/>
    <w:rsid w:val="008765D5"/>
    <w:rsid w:val="00880AC8"/>
    <w:rsid w:val="0088592F"/>
    <w:rsid w:val="00885B5F"/>
    <w:rsid w:val="00885E31"/>
    <w:rsid w:val="00893ECA"/>
    <w:rsid w:val="008A7F93"/>
    <w:rsid w:val="008B1F30"/>
    <w:rsid w:val="008B2E96"/>
    <w:rsid w:val="008B46F6"/>
    <w:rsid w:val="008B6AFF"/>
    <w:rsid w:val="008C43CA"/>
    <w:rsid w:val="008D6339"/>
    <w:rsid w:val="008E5B5F"/>
    <w:rsid w:val="00914F5B"/>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00F10"/>
    <w:rsid w:val="00A00F51"/>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86F3C"/>
    <w:rsid w:val="00C95294"/>
    <w:rsid w:val="00C97AAF"/>
    <w:rsid w:val="00CC2BDA"/>
    <w:rsid w:val="00CD13A2"/>
    <w:rsid w:val="00CE3169"/>
    <w:rsid w:val="00CE6C93"/>
    <w:rsid w:val="00CF1F82"/>
    <w:rsid w:val="00D07C9B"/>
    <w:rsid w:val="00D07FA6"/>
    <w:rsid w:val="00D1475E"/>
    <w:rsid w:val="00D14F71"/>
    <w:rsid w:val="00D2192F"/>
    <w:rsid w:val="00D233C2"/>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76710"/>
    <w:rsid w:val="00E81C0B"/>
    <w:rsid w:val="00E908C9"/>
    <w:rsid w:val="00EB3CEA"/>
    <w:rsid w:val="00EB76B2"/>
    <w:rsid w:val="00ED5F87"/>
    <w:rsid w:val="00ED7A78"/>
    <w:rsid w:val="00F11E25"/>
    <w:rsid w:val="00F125F3"/>
    <w:rsid w:val="00F14DFB"/>
    <w:rsid w:val="00F20F7E"/>
    <w:rsid w:val="00F33088"/>
    <w:rsid w:val="00F50B59"/>
    <w:rsid w:val="00F540D8"/>
    <w:rsid w:val="00F54D5B"/>
    <w:rsid w:val="00F56344"/>
    <w:rsid w:val="00F924E4"/>
    <w:rsid w:val="00F95E0C"/>
    <w:rsid w:val="00F97DC4"/>
    <w:rsid w:val="00FA13B7"/>
    <w:rsid w:val="00FA1F87"/>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customStyle="1" w:styleId="cf01">
    <w:name w:val="cf01"/>
    <w:basedOn w:val="Absatz-Standardschriftart"/>
    <w:rsid w:val="00880A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A00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6896">
      <w:bodyDiv w:val="1"/>
      <w:marLeft w:val="0"/>
      <w:marRight w:val="0"/>
      <w:marTop w:val="0"/>
      <w:marBottom w:val="0"/>
      <w:divBdr>
        <w:top w:val="none" w:sz="0" w:space="0" w:color="auto"/>
        <w:left w:val="none" w:sz="0" w:space="0" w:color="auto"/>
        <w:bottom w:val="none" w:sz="0" w:space="0" w:color="auto"/>
        <w:right w:val="none" w:sz="0" w:space="0" w:color="auto"/>
      </w:divBdr>
    </w:div>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fr"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fr"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968</Words>
  <Characters>6101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2023-08-23T07:38:00Z</dcterms:created>
  <dcterms:modified xsi:type="dcterms:W3CDTF">2023-09-28T08:27:00Z</dcterms:modified>
</cp:coreProperties>
</file>