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AAB7FD" w14:textId="77777777" w:rsidR="0070487F" w:rsidRDefault="0070487F" w:rsidP="00AF0315">
      <w:pPr>
        <w:spacing w:after="0" w:line="360" w:lineRule="auto"/>
        <w:ind w:right="1703"/>
        <w:jc w:val="both"/>
        <w:rPr>
          <w:rFonts w:ascii="Arial" w:hAnsi="Arial" w:cs="Arial"/>
          <w:b/>
          <w:sz w:val="24"/>
          <w:szCs w:val="24"/>
        </w:rPr>
      </w:pPr>
      <w:bookmarkStart w:id="0" w:name="_Hlk20227311"/>
      <w:r w:rsidRPr="0070487F">
        <w:rPr>
          <w:rFonts w:ascii="Arial" w:hAnsi="Arial" w:cs="Arial"/>
          <w:b/>
          <w:sz w:val="24"/>
          <w:szCs w:val="24"/>
        </w:rPr>
        <w:t>TPE as a key material factor for more potent respiratory devices</w:t>
      </w:r>
      <w:bookmarkEnd w:id="0"/>
    </w:p>
    <w:p w14:paraId="00C02AD2" w14:textId="77777777" w:rsidR="0070487F" w:rsidRDefault="0070487F" w:rsidP="00AF0315">
      <w:pPr>
        <w:spacing w:after="0" w:line="360" w:lineRule="auto"/>
        <w:ind w:right="1703"/>
        <w:jc w:val="both"/>
        <w:rPr>
          <w:rFonts w:ascii="Arial" w:hAnsi="Arial" w:cs="Arial"/>
          <w:b/>
          <w:sz w:val="24"/>
          <w:szCs w:val="24"/>
        </w:rPr>
      </w:pPr>
    </w:p>
    <w:p w14:paraId="64708A64" w14:textId="32862494" w:rsidR="0070487F" w:rsidRDefault="0070487F" w:rsidP="00AF0315">
      <w:pPr>
        <w:spacing w:after="0" w:line="360" w:lineRule="auto"/>
        <w:ind w:right="1703"/>
        <w:jc w:val="both"/>
        <w:rPr>
          <w:rFonts w:ascii="Arial" w:hAnsi="Arial" w:cs="Arial"/>
          <w:b/>
          <w:sz w:val="24"/>
          <w:szCs w:val="24"/>
        </w:rPr>
      </w:pPr>
      <w:r w:rsidRPr="0070487F">
        <w:rPr>
          <w:rFonts w:ascii="Arial" w:hAnsi="Arial" w:cs="Arial"/>
          <w:b/>
          <w:bCs/>
          <w:noProof/>
          <w:sz w:val="20"/>
          <w:szCs w:val="20"/>
        </w:rPr>
        <w:t>KRAIBURG TPE, a recognized global leader in superior TPE compounds, offers a range of THERMOLAST</w:t>
      </w:r>
      <w:r w:rsidRPr="0070487F">
        <w:rPr>
          <w:rFonts w:ascii="Arial" w:hAnsi="Arial" w:cs="Arial"/>
          <w:b/>
          <w:bCs/>
          <w:noProof/>
          <w:sz w:val="20"/>
          <w:szCs w:val="20"/>
          <w:vertAlign w:val="superscript"/>
        </w:rPr>
        <w:t>®</w:t>
      </w:r>
      <w:r w:rsidRPr="0070487F">
        <w:rPr>
          <w:rFonts w:ascii="Arial" w:hAnsi="Arial" w:cs="Arial"/>
          <w:b/>
          <w:bCs/>
          <w:noProof/>
          <w:sz w:val="20"/>
          <w:szCs w:val="20"/>
        </w:rPr>
        <w:t xml:space="preserve"> M TPE compounds for medical ventilator, respirator and breathing therapy devices applications</w:t>
      </w:r>
      <w:r w:rsidR="00335124">
        <w:rPr>
          <w:rFonts w:ascii="Arial" w:hAnsi="Arial" w:cs="Arial"/>
          <w:b/>
          <w:bCs/>
          <w:noProof/>
          <w:sz w:val="20"/>
          <w:szCs w:val="20"/>
        </w:rPr>
        <w:t>.</w:t>
      </w:r>
    </w:p>
    <w:p w14:paraId="03AFFC0E" w14:textId="77777777" w:rsidR="0070487F" w:rsidRDefault="0070487F" w:rsidP="00AF0315">
      <w:pPr>
        <w:spacing w:after="0" w:line="360" w:lineRule="auto"/>
        <w:ind w:right="1703"/>
        <w:jc w:val="both"/>
        <w:rPr>
          <w:rFonts w:ascii="Arial" w:hAnsi="Arial" w:cs="Arial"/>
          <w:b/>
          <w:sz w:val="24"/>
          <w:szCs w:val="24"/>
        </w:rPr>
      </w:pPr>
    </w:p>
    <w:p w14:paraId="6EDC9A3D" w14:textId="5F35FDEE" w:rsidR="0070487F" w:rsidRDefault="0070487F" w:rsidP="00AF0315">
      <w:pPr>
        <w:spacing w:after="0" w:line="360" w:lineRule="auto"/>
        <w:ind w:right="1703"/>
        <w:jc w:val="both"/>
        <w:rPr>
          <w:rFonts w:ascii="Arial" w:hAnsi="Arial" w:cs="Arial"/>
          <w:b/>
          <w:sz w:val="24"/>
          <w:szCs w:val="24"/>
        </w:rPr>
      </w:pPr>
      <w:r w:rsidRPr="0070487F">
        <w:rPr>
          <w:rFonts w:ascii="Arial" w:hAnsi="Arial" w:cs="Arial"/>
          <w:noProof/>
          <w:sz w:val="20"/>
          <w:szCs w:val="20"/>
        </w:rPr>
        <w:t>Technological advancement in respiratory care devices result</w:t>
      </w:r>
      <w:r w:rsidR="00335124">
        <w:rPr>
          <w:rFonts w:ascii="Arial" w:hAnsi="Arial" w:cs="Arial"/>
          <w:noProof/>
          <w:sz w:val="20"/>
          <w:szCs w:val="20"/>
        </w:rPr>
        <w:t>s</w:t>
      </w:r>
      <w:r w:rsidRPr="0070487F">
        <w:rPr>
          <w:rFonts w:ascii="Arial" w:hAnsi="Arial" w:cs="Arial"/>
          <w:noProof/>
          <w:sz w:val="20"/>
          <w:szCs w:val="20"/>
        </w:rPr>
        <w:t xml:space="preserve"> in enhanced preventive and treatment outcomes. With the increasing global prevalence of respiratory conditions, demand for devices that help the removal of mucus from the airways and aid in improving pulmonary function is also growing. Yet, not all respiratory and breathing therapy devices are created equal and their material composition makes all the difference.</w:t>
      </w:r>
    </w:p>
    <w:p w14:paraId="0A59400E" w14:textId="77777777" w:rsidR="0070487F" w:rsidRDefault="0070487F" w:rsidP="00AF0315">
      <w:pPr>
        <w:spacing w:after="0" w:line="360" w:lineRule="auto"/>
        <w:ind w:right="1703"/>
        <w:jc w:val="both"/>
        <w:rPr>
          <w:rFonts w:ascii="Arial" w:hAnsi="Arial" w:cs="Arial"/>
          <w:b/>
          <w:sz w:val="24"/>
          <w:szCs w:val="24"/>
        </w:rPr>
      </w:pPr>
    </w:p>
    <w:p w14:paraId="5044EE5A" w14:textId="77777777" w:rsidR="0070487F" w:rsidRDefault="0070487F" w:rsidP="00AF0315">
      <w:pPr>
        <w:spacing w:after="0" w:line="360" w:lineRule="auto"/>
        <w:ind w:right="1703"/>
        <w:jc w:val="both"/>
        <w:rPr>
          <w:rFonts w:ascii="Arial" w:hAnsi="Arial" w:cs="Arial"/>
          <w:b/>
          <w:sz w:val="24"/>
          <w:szCs w:val="24"/>
        </w:rPr>
      </w:pPr>
      <w:r w:rsidRPr="0070487F">
        <w:rPr>
          <w:rFonts w:ascii="Arial" w:hAnsi="Arial" w:cs="Arial"/>
          <w:noProof/>
          <w:sz w:val="20"/>
          <w:szCs w:val="20"/>
        </w:rPr>
        <w:t>Thermoplastic elastomers materials or TPEs yield properties suited for medical applications, specifically for respirator and breathing therapy devices.  Such benefits include low surface friction, good sealing, soft touch, elasticity, durability, and good adhesion that are ideal for use in medical inhaler mask, bag valve mask, mouthpieces, tubing, and connectors for respiratory aids.</w:t>
      </w:r>
    </w:p>
    <w:p w14:paraId="568B099D" w14:textId="77777777" w:rsidR="0070487F" w:rsidRDefault="0070487F" w:rsidP="0070487F">
      <w:pPr>
        <w:spacing w:after="0" w:line="360" w:lineRule="auto"/>
        <w:ind w:right="1523"/>
        <w:jc w:val="both"/>
        <w:rPr>
          <w:rFonts w:ascii="Arial" w:hAnsi="Arial" w:cs="Arial"/>
          <w:b/>
          <w:sz w:val="24"/>
          <w:szCs w:val="24"/>
        </w:rPr>
      </w:pPr>
    </w:p>
    <w:p w14:paraId="4CCBC6D6" w14:textId="77777777" w:rsidR="0070487F" w:rsidRDefault="0070487F" w:rsidP="00AF0315">
      <w:pPr>
        <w:spacing w:after="0" w:line="360" w:lineRule="auto"/>
        <w:ind w:right="1703"/>
        <w:jc w:val="both"/>
        <w:rPr>
          <w:rFonts w:ascii="Arial" w:hAnsi="Arial" w:cs="Arial"/>
          <w:b/>
          <w:sz w:val="24"/>
          <w:szCs w:val="24"/>
        </w:rPr>
      </w:pPr>
      <w:r w:rsidRPr="0070487F">
        <w:rPr>
          <w:rFonts w:ascii="Arial" w:hAnsi="Arial" w:cs="Arial"/>
          <w:noProof/>
          <w:sz w:val="20"/>
          <w:szCs w:val="20"/>
        </w:rPr>
        <w:t>KRAIBURG TPE, a global TPE manufacturer of a wide range of thermoplastic elastomer products and custom solutions for multiple industries, offers high-quality custom engineered THERMOLAST</w:t>
      </w:r>
      <w:r w:rsidRPr="0070487F">
        <w:rPr>
          <w:rFonts w:ascii="Arial" w:hAnsi="Arial" w:cs="Arial"/>
          <w:noProof/>
          <w:sz w:val="20"/>
          <w:szCs w:val="20"/>
          <w:vertAlign w:val="superscript"/>
        </w:rPr>
        <w:t>®</w:t>
      </w:r>
      <w:r w:rsidRPr="0070487F">
        <w:rPr>
          <w:rFonts w:ascii="Arial" w:hAnsi="Arial" w:cs="Arial"/>
          <w:noProof/>
          <w:sz w:val="20"/>
          <w:szCs w:val="20"/>
        </w:rPr>
        <w:t xml:space="preserve"> M TPE materials for applications in medical and pharmaceutical devices used in healthcare facilities.</w:t>
      </w:r>
    </w:p>
    <w:p w14:paraId="1EB66175" w14:textId="77777777" w:rsidR="0070487F" w:rsidRDefault="0070487F" w:rsidP="0070487F">
      <w:pPr>
        <w:spacing w:after="0" w:line="360" w:lineRule="auto"/>
        <w:ind w:right="1523"/>
        <w:jc w:val="both"/>
        <w:rPr>
          <w:rFonts w:ascii="Arial" w:hAnsi="Arial" w:cs="Arial"/>
          <w:b/>
          <w:sz w:val="24"/>
          <w:szCs w:val="24"/>
        </w:rPr>
      </w:pPr>
    </w:p>
    <w:p w14:paraId="291E4C28" w14:textId="77777777" w:rsidR="00AF0315" w:rsidRDefault="00AF0315">
      <w:pPr>
        <w:rPr>
          <w:rFonts w:ascii="Arial" w:hAnsi="Arial" w:cs="Arial"/>
          <w:b/>
          <w:bCs/>
          <w:sz w:val="20"/>
          <w:szCs w:val="20"/>
          <w:lang w:bidi="ar-SA"/>
        </w:rPr>
      </w:pPr>
      <w:r>
        <w:rPr>
          <w:rFonts w:ascii="Arial" w:hAnsi="Arial" w:cs="Arial"/>
          <w:b/>
          <w:bCs/>
          <w:sz w:val="20"/>
          <w:szCs w:val="20"/>
          <w:lang w:bidi="ar-SA"/>
        </w:rPr>
        <w:br w:type="page"/>
      </w:r>
    </w:p>
    <w:p w14:paraId="7D1CC8A9" w14:textId="334CEC9F" w:rsidR="0070487F" w:rsidRDefault="0070487F" w:rsidP="0070487F">
      <w:pPr>
        <w:spacing w:after="0" w:line="360" w:lineRule="auto"/>
        <w:ind w:right="1523"/>
        <w:jc w:val="both"/>
        <w:rPr>
          <w:rFonts w:ascii="Arial" w:hAnsi="Arial" w:cs="Arial"/>
          <w:b/>
          <w:sz w:val="24"/>
          <w:szCs w:val="24"/>
        </w:rPr>
      </w:pPr>
      <w:r w:rsidRPr="0070487F">
        <w:rPr>
          <w:rFonts w:ascii="Arial" w:hAnsi="Arial" w:cs="Arial"/>
          <w:b/>
          <w:bCs/>
          <w:sz w:val="20"/>
          <w:szCs w:val="20"/>
          <w:lang w:bidi="ar-SA"/>
        </w:rPr>
        <w:lastRenderedPageBreak/>
        <w:t>Sterilizability, safety adherence in medical applications</w:t>
      </w:r>
    </w:p>
    <w:p w14:paraId="127C3805" w14:textId="6D0501E9" w:rsidR="0070487F" w:rsidRDefault="0070487F" w:rsidP="0070487F">
      <w:pPr>
        <w:spacing w:after="0" w:line="360" w:lineRule="auto"/>
        <w:ind w:right="1523"/>
        <w:jc w:val="both"/>
        <w:rPr>
          <w:rFonts w:ascii="Arial" w:hAnsi="Arial" w:cs="Arial"/>
          <w:b/>
          <w:sz w:val="24"/>
          <w:szCs w:val="24"/>
        </w:rPr>
      </w:pPr>
      <w:r w:rsidRPr="0070487F">
        <w:rPr>
          <w:rFonts w:ascii="Arial" w:hAnsi="Arial" w:cs="Arial"/>
          <w:sz w:val="20"/>
          <w:szCs w:val="20"/>
          <w:lang w:bidi="ar-SA"/>
        </w:rPr>
        <w:t>The THERMOLAST</w:t>
      </w:r>
      <w:r w:rsidRPr="0070487F">
        <w:rPr>
          <w:rFonts w:ascii="Arial" w:hAnsi="Arial" w:cs="Arial"/>
          <w:sz w:val="20"/>
          <w:szCs w:val="20"/>
          <w:vertAlign w:val="superscript"/>
          <w:lang w:bidi="ar-SA"/>
        </w:rPr>
        <w:t>®</w:t>
      </w:r>
      <w:r w:rsidRPr="0070487F">
        <w:rPr>
          <w:rFonts w:ascii="Arial" w:hAnsi="Arial" w:cs="Arial"/>
          <w:sz w:val="20"/>
          <w:szCs w:val="20"/>
          <w:lang w:bidi="ar-SA"/>
        </w:rPr>
        <w:t xml:space="preserve"> M series compounds are sterilizable with superheated steam of </w:t>
      </w:r>
      <w:r w:rsidR="00335124">
        <w:rPr>
          <w:rFonts w:ascii="Arial" w:hAnsi="Arial" w:cs="Arial"/>
          <w:sz w:val="20"/>
          <w:szCs w:val="20"/>
          <w:lang w:bidi="ar-SA"/>
        </w:rPr>
        <w:t xml:space="preserve">121°C or </w:t>
      </w:r>
      <w:r w:rsidRPr="0070487F">
        <w:rPr>
          <w:rFonts w:ascii="Arial" w:hAnsi="Arial" w:cs="Arial"/>
          <w:sz w:val="20"/>
          <w:szCs w:val="20"/>
          <w:lang w:bidi="ar-SA"/>
        </w:rPr>
        <w:t>134°C</w:t>
      </w:r>
      <w:r w:rsidR="00335124">
        <w:rPr>
          <w:rFonts w:ascii="Arial" w:hAnsi="Arial" w:cs="Arial"/>
          <w:sz w:val="20"/>
          <w:szCs w:val="20"/>
          <w:lang w:bidi="ar-SA"/>
        </w:rPr>
        <w:t>,</w:t>
      </w:r>
      <w:r w:rsidR="00335124">
        <w:rPr>
          <w:rFonts w:ascii="Arial" w:hAnsi="Arial" w:cs="Arial"/>
          <w:b/>
          <w:sz w:val="24"/>
          <w:szCs w:val="24"/>
        </w:rPr>
        <w:t xml:space="preserve"> </w:t>
      </w:r>
      <w:r w:rsidRPr="0070487F">
        <w:rPr>
          <w:rFonts w:ascii="Arial" w:hAnsi="Arial" w:cs="Arial"/>
          <w:sz w:val="20"/>
          <w:szCs w:val="20"/>
          <w:lang w:bidi="ar-SA"/>
        </w:rPr>
        <w:t>γ-gamma ray treatment (2 x 35 kGy), β-ray (electron beam) treatment (2 x 35 kGy) and EtO gas. Safe to use in medical applications, these compounds are free of latex, PVC, and phthalates</w:t>
      </w:r>
      <w:r w:rsidR="00213074">
        <w:rPr>
          <w:rFonts w:ascii="Arial" w:hAnsi="Arial" w:cs="Arial"/>
          <w:sz w:val="20"/>
          <w:szCs w:val="20"/>
          <w:lang w:bidi="ar-SA"/>
        </w:rPr>
        <w:t>,</w:t>
      </w:r>
      <w:r w:rsidRPr="0070487F">
        <w:rPr>
          <w:rFonts w:ascii="Arial" w:hAnsi="Arial" w:cs="Arial"/>
          <w:sz w:val="20"/>
          <w:szCs w:val="20"/>
          <w:lang w:bidi="ar-SA"/>
        </w:rPr>
        <w:t xml:space="preserve"> and they are produced without the use of heavy metals.</w:t>
      </w:r>
    </w:p>
    <w:p w14:paraId="6F03CCE1" w14:textId="77777777" w:rsidR="0070487F" w:rsidRDefault="0070487F" w:rsidP="0070487F">
      <w:pPr>
        <w:spacing w:after="0" w:line="360" w:lineRule="auto"/>
        <w:ind w:right="1523"/>
        <w:jc w:val="both"/>
        <w:rPr>
          <w:rFonts w:ascii="Arial" w:hAnsi="Arial" w:cs="Arial"/>
          <w:b/>
          <w:sz w:val="24"/>
          <w:szCs w:val="24"/>
        </w:rPr>
      </w:pPr>
    </w:p>
    <w:p w14:paraId="51BC0ED3" w14:textId="09CBD98C" w:rsidR="0070487F" w:rsidRDefault="0070487F" w:rsidP="0070487F">
      <w:pPr>
        <w:spacing w:after="0" w:line="360" w:lineRule="auto"/>
        <w:ind w:right="1523"/>
        <w:jc w:val="both"/>
        <w:rPr>
          <w:rFonts w:ascii="Arial" w:hAnsi="Arial" w:cs="Arial"/>
          <w:b/>
          <w:sz w:val="24"/>
          <w:szCs w:val="24"/>
        </w:rPr>
      </w:pPr>
      <w:r w:rsidRPr="0070487F">
        <w:rPr>
          <w:rFonts w:ascii="Arial" w:hAnsi="Arial" w:cs="Arial"/>
          <w:sz w:val="20"/>
          <w:szCs w:val="20"/>
          <w:lang w:bidi="ar-SA"/>
        </w:rPr>
        <w:t>Additionally, the THERMOLAST</w:t>
      </w:r>
      <w:r w:rsidRPr="0070487F">
        <w:rPr>
          <w:rFonts w:ascii="Arial" w:hAnsi="Arial" w:cs="Arial"/>
          <w:sz w:val="20"/>
          <w:szCs w:val="20"/>
          <w:vertAlign w:val="superscript"/>
          <w:lang w:bidi="ar-SA"/>
        </w:rPr>
        <w:t>®</w:t>
      </w:r>
      <w:r w:rsidRPr="0070487F">
        <w:rPr>
          <w:rFonts w:ascii="Arial" w:hAnsi="Arial" w:cs="Arial"/>
          <w:sz w:val="20"/>
          <w:szCs w:val="20"/>
          <w:lang w:bidi="ar-SA"/>
        </w:rPr>
        <w:t xml:space="preserve"> M compounds possess excellent durability, flexibility and high elasticity that are suitable for use </w:t>
      </w:r>
      <w:r w:rsidR="00335124">
        <w:rPr>
          <w:rFonts w:ascii="Arial" w:hAnsi="Arial" w:cs="Arial"/>
          <w:sz w:val="20"/>
          <w:szCs w:val="20"/>
          <w:lang w:bidi="ar-SA"/>
        </w:rPr>
        <w:t>in</w:t>
      </w:r>
      <w:r w:rsidR="00335124" w:rsidRPr="0070487F">
        <w:rPr>
          <w:rFonts w:ascii="Arial" w:hAnsi="Arial" w:cs="Arial"/>
          <w:sz w:val="20"/>
          <w:szCs w:val="20"/>
          <w:lang w:bidi="ar-SA"/>
        </w:rPr>
        <w:t xml:space="preserve"> </w:t>
      </w:r>
      <w:r w:rsidRPr="0070487F">
        <w:rPr>
          <w:rFonts w:ascii="Arial" w:hAnsi="Arial" w:cs="Arial"/>
          <w:sz w:val="20"/>
          <w:szCs w:val="20"/>
          <w:lang w:bidi="ar-SA"/>
        </w:rPr>
        <w:t>flexible connectors, membranes, seals and valves as well as for breathing therapy devices such as oxygen tube, nebulizer</w:t>
      </w:r>
      <w:r w:rsidR="00335124">
        <w:rPr>
          <w:rFonts w:ascii="Arial" w:hAnsi="Arial" w:cs="Arial"/>
          <w:sz w:val="20"/>
          <w:szCs w:val="20"/>
          <w:lang w:bidi="ar-SA"/>
        </w:rPr>
        <w:t>-</w:t>
      </w:r>
      <w:r w:rsidRPr="0070487F">
        <w:rPr>
          <w:rFonts w:ascii="Arial" w:hAnsi="Arial" w:cs="Arial"/>
          <w:sz w:val="20"/>
          <w:szCs w:val="20"/>
          <w:lang w:bidi="ar-SA"/>
        </w:rPr>
        <w:t>tubing, aerosol mask, mouthpiece, flexible connectors, portable nebulizer, valve (mouthpiece), and nasal douche (lid &amp; connector).</w:t>
      </w:r>
    </w:p>
    <w:p w14:paraId="0B788DE7" w14:textId="77777777" w:rsidR="0070487F" w:rsidRDefault="0070487F" w:rsidP="0070487F">
      <w:pPr>
        <w:spacing w:after="0" w:line="360" w:lineRule="auto"/>
        <w:ind w:right="1523"/>
        <w:jc w:val="both"/>
        <w:rPr>
          <w:rFonts w:ascii="Arial" w:hAnsi="Arial" w:cs="Arial"/>
          <w:b/>
          <w:sz w:val="24"/>
          <w:szCs w:val="24"/>
        </w:rPr>
      </w:pPr>
    </w:p>
    <w:p w14:paraId="1B8A3374" w14:textId="0405BB4D" w:rsidR="0070487F" w:rsidRDefault="0070487F" w:rsidP="0070487F">
      <w:pPr>
        <w:spacing w:after="0" w:line="360" w:lineRule="auto"/>
        <w:ind w:right="1523"/>
        <w:jc w:val="both"/>
        <w:rPr>
          <w:rFonts w:ascii="Arial" w:hAnsi="Arial" w:cs="Arial"/>
          <w:b/>
          <w:sz w:val="24"/>
          <w:szCs w:val="24"/>
        </w:rPr>
      </w:pPr>
      <w:r w:rsidRPr="0070487F">
        <w:rPr>
          <w:rFonts w:ascii="Arial" w:hAnsi="Arial" w:cs="Arial"/>
          <w:sz w:val="20"/>
          <w:szCs w:val="20"/>
          <w:lang w:bidi="ar-SA"/>
        </w:rPr>
        <w:t>THERMOLAST</w:t>
      </w:r>
      <w:r w:rsidRPr="0070487F">
        <w:rPr>
          <w:rFonts w:ascii="Arial" w:hAnsi="Arial" w:cs="Arial"/>
          <w:sz w:val="20"/>
          <w:szCs w:val="20"/>
          <w:vertAlign w:val="superscript"/>
          <w:lang w:bidi="ar-SA"/>
        </w:rPr>
        <w:t>®</w:t>
      </w:r>
      <w:r w:rsidRPr="0070487F">
        <w:rPr>
          <w:rFonts w:ascii="Arial" w:hAnsi="Arial" w:cs="Arial"/>
          <w:sz w:val="20"/>
          <w:szCs w:val="20"/>
          <w:lang w:bidi="ar-SA"/>
        </w:rPr>
        <w:t xml:space="preserve"> M series has excellent adhesion to a range of polyolefins such as PP, PE, COC and COP; and technical thermoplastics such as ABS, PC, PET-G, as well as polyamides by multi-component</w:t>
      </w:r>
      <w:r>
        <w:rPr>
          <w:rFonts w:ascii="Arial" w:hAnsi="Arial" w:cs="Arial"/>
          <w:b/>
          <w:sz w:val="24"/>
          <w:szCs w:val="24"/>
        </w:rPr>
        <w:t xml:space="preserve"> </w:t>
      </w:r>
      <w:r w:rsidRPr="0070487F">
        <w:rPr>
          <w:rFonts w:ascii="Arial" w:hAnsi="Arial" w:cs="Arial"/>
          <w:sz w:val="20"/>
          <w:szCs w:val="20"/>
          <w:lang w:bidi="ar-SA"/>
        </w:rPr>
        <w:t>injection molding. The compounds can be processed through injection molding and extrusion</w:t>
      </w:r>
      <w:r w:rsidR="00213074">
        <w:rPr>
          <w:rFonts w:ascii="Arial" w:hAnsi="Arial" w:cs="Arial"/>
          <w:sz w:val="20"/>
          <w:szCs w:val="20"/>
          <w:lang w:bidi="ar-SA"/>
        </w:rPr>
        <w:t xml:space="preserve">, </w:t>
      </w:r>
      <w:r w:rsidRPr="0070487F">
        <w:rPr>
          <w:rFonts w:ascii="Arial" w:hAnsi="Arial" w:cs="Arial"/>
          <w:sz w:val="20"/>
          <w:szCs w:val="20"/>
          <w:lang w:bidi="ar-SA"/>
        </w:rPr>
        <w:t xml:space="preserve"> and have excellent compression set characteristics. </w:t>
      </w:r>
    </w:p>
    <w:p w14:paraId="20E8E49B" w14:textId="77777777" w:rsidR="0070487F" w:rsidRDefault="0070487F" w:rsidP="0070487F">
      <w:pPr>
        <w:spacing w:after="0" w:line="360" w:lineRule="auto"/>
        <w:ind w:right="1523"/>
        <w:jc w:val="both"/>
        <w:rPr>
          <w:rFonts w:ascii="Arial" w:hAnsi="Arial" w:cs="Arial"/>
          <w:b/>
          <w:sz w:val="24"/>
          <w:szCs w:val="24"/>
        </w:rPr>
      </w:pPr>
    </w:p>
    <w:p w14:paraId="2325CE24" w14:textId="621AD8E2" w:rsidR="0070487F" w:rsidRDefault="0070487F" w:rsidP="0070487F">
      <w:pPr>
        <w:spacing w:after="0" w:line="360" w:lineRule="auto"/>
        <w:ind w:right="1523"/>
        <w:jc w:val="both"/>
        <w:rPr>
          <w:rFonts w:ascii="Arial" w:hAnsi="Arial" w:cs="Arial"/>
          <w:b/>
          <w:sz w:val="24"/>
          <w:szCs w:val="24"/>
        </w:rPr>
      </w:pPr>
      <w:r w:rsidRPr="0070487F">
        <w:rPr>
          <w:rFonts w:ascii="Arial" w:hAnsi="Arial" w:cs="Arial"/>
          <w:sz w:val="20"/>
          <w:szCs w:val="20"/>
          <w:lang w:bidi="ar-SA"/>
        </w:rPr>
        <w:t xml:space="preserve">These compounds are usually transparent or translucent in color. However, as KRAIBURG TPE offers services on coloration and color matching to individual color samples, all compounds can </w:t>
      </w:r>
      <w:r w:rsidR="00213074">
        <w:rPr>
          <w:rFonts w:ascii="Arial" w:hAnsi="Arial" w:cs="Arial"/>
          <w:sz w:val="20"/>
          <w:szCs w:val="20"/>
          <w:lang w:bidi="ar-SA"/>
        </w:rPr>
        <w:t xml:space="preserve">likewise </w:t>
      </w:r>
      <w:r w:rsidRPr="0070487F">
        <w:rPr>
          <w:rFonts w:ascii="Arial" w:hAnsi="Arial" w:cs="Arial"/>
          <w:sz w:val="20"/>
          <w:szCs w:val="20"/>
          <w:lang w:bidi="ar-SA"/>
        </w:rPr>
        <w:t>be obtained in any given color.</w:t>
      </w:r>
    </w:p>
    <w:p w14:paraId="588A3B66" w14:textId="77777777" w:rsidR="0070487F" w:rsidRDefault="0070487F" w:rsidP="0070487F">
      <w:pPr>
        <w:spacing w:after="0" w:line="360" w:lineRule="auto"/>
        <w:ind w:right="1523"/>
        <w:jc w:val="both"/>
        <w:rPr>
          <w:rFonts w:ascii="Arial" w:hAnsi="Arial" w:cs="Arial"/>
          <w:b/>
          <w:sz w:val="24"/>
          <w:szCs w:val="24"/>
        </w:rPr>
      </w:pPr>
    </w:p>
    <w:p w14:paraId="4C3AF77C" w14:textId="77777777" w:rsidR="0070487F" w:rsidRDefault="0070487F" w:rsidP="0070487F">
      <w:pPr>
        <w:spacing w:after="0" w:line="360" w:lineRule="auto"/>
        <w:ind w:right="1523"/>
        <w:jc w:val="both"/>
        <w:rPr>
          <w:rFonts w:ascii="Arial" w:hAnsi="Arial" w:cs="Arial"/>
          <w:b/>
          <w:sz w:val="24"/>
          <w:szCs w:val="24"/>
        </w:rPr>
      </w:pPr>
      <w:r w:rsidRPr="0070487F">
        <w:rPr>
          <w:rFonts w:ascii="Arial" w:hAnsi="Arial" w:cs="Arial"/>
          <w:b/>
          <w:bCs/>
          <w:sz w:val="20"/>
          <w:szCs w:val="20"/>
          <w:lang w:bidi="ar-SA"/>
        </w:rPr>
        <w:t>Evidence of Safety</w:t>
      </w:r>
    </w:p>
    <w:p w14:paraId="7999F126" w14:textId="380C558E" w:rsidR="0070487F" w:rsidRPr="0070487F" w:rsidRDefault="0070487F" w:rsidP="0070487F">
      <w:pPr>
        <w:spacing w:after="0" w:line="360" w:lineRule="auto"/>
        <w:ind w:right="1523"/>
        <w:jc w:val="both"/>
        <w:rPr>
          <w:rFonts w:ascii="Arial" w:hAnsi="Arial" w:cs="Arial"/>
          <w:b/>
          <w:sz w:val="24"/>
          <w:szCs w:val="24"/>
        </w:rPr>
      </w:pPr>
      <w:r w:rsidRPr="0070487F">
        <w:rPr>
          <w:rFonts w:ascii="Arial" w:hAnsi="Arial" w:cs="Arial"/>
          <w:sz w:val="20"/>
          <w:szCs w:val="20"/>
          <w:lang w:bidi="ar-SA"/>
        </w:rPr>
        <w:t xml:space="preserve">The TPE series meets the requirements of the VDI 2017 guideline for medical grade plastics (MGPs) issued by the Association of German Engineers (VDI), as well as the Reach and RoHS standards. The compounds are tested according to DIN ISO 10993-5 Cytotoxicity; DIN ISO 10993-4 Haemolysis, indirect blood contact; DIN ISO 10993-10 Intracutaneous </w:t>
      </w:r>
      <w:r w:rsidRPr="0070487F">
        <w:rPr>
          <w:rFonts w:ascii="Arial" w:hAnsi="Arial" w:cs="Arial"/>
          <w:sz w:val="20"/>
          <w:szCs w:val="20"/>
          <w:lang w:bidi="ar-SA"/>
        </w:rPr>
        <w:lastRenderedPageBreak/>
        <w:t>irritation and DIN ISO 10993-11 Acute system toxicity; USP Class VI Extraction.</w:t>
      </w:r>
    </w:p>
    <w:p w14:paraId="147999C3" w14:textId="77777777" w:rsidR="00AF0315" w:rsidRDefault="00AF0315" w:rsidP="0070487F">
      <w:pPr>
        <w:keepNext/>
        <w:keepLines/>
        <w:spacing w:after="0" w:line="360" w:lineRule="auto"/>
        <w:ind w:right="1701"/>
        <w:rPr>
          <w:rFonts w:ascii="Arial" w:hAnsi="Arial" w:cs="Arial"/>
          <w:b/>
          <w:bCs/>
          <w:sz w:val="20"/>
          <w:szCs w:val="20"/>
          <w:lang w:bidi="ar-SA"/>
        </w:rPr>
      </w:pPr>
    </w:p>
    <w:p w14:paraId="237FCA8C" w14:textId="0A5C5D72" w:rsidR="0070487F" w:rsidRPr="0070487F" w:rsidRDefault="0070487F" w:rsidP="0070487F">
      <w:pPr>
        <w:keepNext/>
        <w:keepLines/>
        <w:spacing w:after="0" w:line="360" w:lineRule="auto"/>
        <w:ind w:right="1701"/>
        <w:rPr>
          <w:rFonts w:ascii="Arial" w:hAnsi="Arial" w:cs="Arial"/>
          <w:b/>
          <w:bCs/>
          <w:sz w:val="20"/>
          <w:szCs w:val="20"/>
          <w:lang w:bidi="ar-SA"/>
        </w:rPr>
      </w:pPr>
      <w:r w:rsidRPr="0070487F">
        <w:rPr>
          <w:rFonts w:ascii="Arial" w:hAnsi="Arial" w:cs="Arial"/>
          <w:b/>
          <w:bCs/>
          <w:sz w:val="20"/>
          <w:szCs w:val="20"/>
          <w:lang w:bidi="ar-SA"/>
        </w:rPr>
        <w:t>Customer satisfaction at the fore</w:t>
      </w:r>
    </w:p>
    <w:p w14:paraId="3B2785E3" w14:textId="788A1FD8" w:rsidR="0070487F" w:rsidRDefault="0070487F" w:rsidP="0070487F">
      <w:pPr>
        <w:keepNext/>
        <w:keepLines/>
        <w:spacing w:after="0" w:line="360" w:lineRule="auto"/>
        <w:ind w:right="1701"/>
        <w:rPr>
          <w:rFonts w:ascii="Arial" w:hAnsi="Arial" w:cs="Arial"/>
          <w:sz w:val="20"/>
          <w:szCs w:val="20"/>
          <w:lang w:bidi="ar-SA"/>
        </w:rPr>
      </w:pPr>
      <w:r w:rsidRPr="0070487F">
        <w:rPr>
          <w:rFonts w:ascii="Arial" w:hAnsi="Arial" w:cs="Arial"/>
          <w:sz w:val="20"/>
          <w:szCs w:val="20"/>
          <w:lang w:bidi="ar-SA"/>
        </w:rPr>
        <w:t>KRAIBURG TPE strives to maintain the standards of its products by providing a unique service package that focuses on our customer needs in constantly recording manufacturing process in the drug Masterfile (DMF); and by guaranteeing 24-month supply security and purity of our raw materials through the commitment of our suppliers and a dedicated production unit for THERMOLAST</w:t>
      </w:r>
      <w:r w:rsidRPr="0070487F">
        <w:rPr>
          <w:rFonts w:ascii="Arial" w:hAnsi="Arial" w:cs="Arial"/>
          <w:sz w:val="20"/>
          <w:szCs w:val="20"/>
          <w:vertAlign w:val="superscript"/>
          <w:lang w:bidi="ar-SA"/>
        </w:rPr>
        <w:t>®</w:t>
      </w:r>
      <w:r w:rsidRPr="0070487F">
        <w:rPr>
          <w:rFonts w:ascii="Arial" w:hAnsi="Arial" w:cs="Arial"/>
          <w:sz w:val="20"/>
          <w:szCs w:val="20"/>
          <w:lang w:bidi="ar-SA"/>
        </w:rPr>
        <w:t xml:space="preserve"> M to ensure the quality, safety and reliability of our TPEs.  </w:t>
      </w:r>
    </w:p>
    <w:p w14:paraId="1369C731" w14:textId="77777777" w:rsidR="0070487F" w:rsidRPr="0070487F" w:rsidRDefault="0070487F" w:rsidP="0070487F">
      <w:pPr>
        <w:keepNext/>
        <w:keepLines/>
        <w:spacing w:after="0" w:line="360" w:lineRule="auto"/>
        <w:ind w:right="1701"/>
        <w:rPr>
          <w:rFonts w:ascii="Arial" w:hAnsi="Arial" w:cs="Arial"/>
          <w:sz w:val="20"/>
          <w:szCs w:val="20"/>
          <w:lang w:bidi="ar-SA"/>
        </w:rPr>
      </w:pPr>
    </w:p>
    <w:p w14:paraId="0EE050D1" w14:textId="77777777" w:rsidR="0070487F" w:rsidRDefault="0070487F" w:rsidP="00EC7126">
      <w:pPr>
        <w:keepNext/>
        <w:keepLines/>
        <w:spacing w:after="0" w:line="360" w:lineRule="auto"/>
        <w:ind w:right="1701"/>
        <w:rPr>
          <w:rFonts w:ascii="Arial" w:hAnsi="Arial" w:cs="Arial"/>
          <w:b/>
          <w:bCs/>
          <w:sz w:val="20"/>
          <w:szCs w:val="20"/>
          <w:lang w:bidi="ar-SA"/>
        </w:rPr>
      </w:pPr>
    </w:p>
    <w:p w14:paraId="7C5A3E56" w14:textId="04381A01" w:rsidR="0070487F" w:rsidRDefault="00AF0315" w:rsidP="00EC7126">
      <w:pPr>
        <w:keepNext/>
        <w:keepLines/>
        <w:spacing w:after="0" w:line="360" w:lineRule="auto"/>
        <w:ind w:right="1701"/>
        <w:rPr>
          <w:rFonts w:ascii="Arial" w:hAnsi="Arial" w:cs="Arial"/>
          <w:b/>
          <w:bCs/>
          <w:sz w:val="20"/>
          <w:szCs w:val="20"/>
          <w:lang w:bidi="ar-SA"/>
        </w:rPr>
      </w:pPr>
      <w:r>
        <w:rPr>
          <w:rFonts w:ascii="Arial" w:hAnsi="Arial" w:cs="Arial"/>
          <w:b/>
          <w:bCs/>
          <w:noProof/>
          <w:sz w:val="20"/>
          <w:szCs w:val="20"/>
          <w:lang w:bidi="ar-SA"/>
        </w:rPr>
        <w:drawing>
          <wp:inline distT="0" distB="0" distL="0" distR="0" wp14:anchorId="050CCEED" wp14:editId="58D77E9C">
            <wp:extent cx="4603806" cy="2543991"/>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08633" cy="2546658"/>
                    </a:xfrm>
                    <a:prstGeom prst="rect">
                      <a:avLst/>
                    </a:prstGeom>
                    <a:noFill/>
                    <a:ln>
                      <a:noFill/>
                    </a:ln>
                  </pic:spPr>
                </pic:pic>
              </a:graphicData>
            </a:graphic>
          </wp:inline>
        </w:drawing>
      </w:r>
    </w:p>
    <w:p w14:paraId="448950E1" w14:textId="4E891793"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20</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1223A429" w14:textId="405A9988"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zh-CN" w:bidi="th-TH"/>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E6C9844" w14:textId="36C3A93B" w:rsidR="001C2242" w:rsidRPr="00325EA7" w:rsidRDefault="001C2242" w:rsidP="00AF0315">
      <w:pPr>
        <w:rPr>
          <w:rFonts w:ascii="Arial" w:hAnsi="Arial" w:cs="Arial"/>
          <w:b/>
          <w:color w:val="000000" w:themeColor="text1"/>
          <w:sz w:val="20"/>
          <w:szCs w:val="20"/>
        </w:rPr>
      </w:pPr>
      <w:bookmarkStart w:id="1" w:name="_GoBack"/>
      <w:bookmarkEnd w:id="1"/>
      <w:r w:rsidRPr="00325EA7">
        <w:rPr>
          <w:rFonts w:ascii="Arial" w:hAnsi="Arial" w:cs="Arial"/>
          <w:b/>
          <w:color w:val="000000" w:themeColor="text1"/>
          <w:sz w:val="20"/>
          <w:szCs w:val="20"/>
        </w:rPr>
        <w:t>About KRAIBURG TPE</w:t>
      </w:r>
    </w:p>
    <w:p w14:paraId="571A49E2" w14:textId="066C4C46"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BC3336" w14:textId="77777777" w:rsidR="00A82FD5" w:rsidRDefault="00A82FD5" w:rsidP="00784C57">
      <w:pPr>
        <w:spacing w:after="0" w:line="240" w:lineRule="auto"/>
      </w:pPr>
      <w:r>
        <w:separator/>
      </w:r>
    </w:p>
  </w:endnote>
  <w:endnote w:type="continuationSeparator" w:id="0">
    <w:p w14:paraId="4C61A66C" w14:textId="77777777" w:rsidR="00A82FD5" w:rsidRDefault="00A82FD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zh-CN" w:bidi="th-TH"/>
      </w:rPr>
      <mc:AlternateContent>
        <mc:Choice Requires="wps">
          <w:drawing>
            <wp:anchor distT="0" distB="0" distL="114300" distR="114300" simplePos="0" relativeHeight="251662336" behindDoc="0" locked="0" layoutInCell="1" allowOverlap="1" wp14:anchorId="3A807399" wp14:editId="63C7C270">
              <wp:simplePos x="0" y="0"/>
              <wp:positionH relativeFrom="column">
                <wp:posOffset>4330065</wp:posOffset>
              </wp:positionH>
              <wp:positionV relativeFrom="paragraph">
                <wp:posOffset>-2687320</wp:posOffset>
              </wp:positionV>
              <wp:extent cx="1885950" cy="216916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169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AF0315" w:rsidP="00EC7126">
                          <w:pPr>
                            <w:pStyle w:val="Header"/>
                            <w:spacing w:line="360" w:lineRule="auto"/>
                          </w:pPr>
                          <w:hyperlink r:id="rId1">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F0315"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11.6pt;width:148.5pt;height:170.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77777777" w:rsidR="00EC7126" w:rsidRPr="000A52EE" w:rsidRDefault="00EC7126" w:rsidP="00EC7126">
                    <w:pPr>
                      <w:pStyle w:val="BodyTextIndent"/>
                      <w:ind w:left="0"/>
                      <w:rPr>
                        <w:i w:val="0"/>
                        <w:sz w:val="16"/>
                        <w:szCs w:val="16"/>
                        <w:lang w:val="en-GB"/>
                      </w:rPr>
                    </w:pPr>
                    <w:r w:rsidRPr="000A52EE">
                      <w:rPr>
                        <w:i w:val="0"/>
                        <w:sz w:val="16"/>
                        <w:lang w:val="en-GB"/>
                      </w:rPr>
                      <w:t>Simone Hammerl</w:t>
                    </w:r>
                  </w:p>
                  <w:p w14:paraId="06D02C68" w14:textId="77777777" w:rsidR="00EC7126" w:rsidRPr="00F54D5B" w:rsidRDefault="00EC7126" w:rsidP="00EC7126">
                    <w:pPr>
                      <w:pStyle w:val="BodyTextIndent"/>
                      <w:ind w:left="0"/>
                      <w:rPr>
                        <w:i w:val="0"/>
                        <w:sz w:val="16"/>
                        <w:szCs w:val="16"/>
                      </w:rPr>
                    </w:pPr>
                    <w:r>
                      <w:rPr>
                        <w:i w:val="0"/>
                        <w:sz w:val="16"/>
                      </w:rPr>
                      <w:t>Corporate Communications Manager</w:t>
                    </w:r>
                  </w:p>
                  <w:p w14:paraId="7B4446C1" w14:textId="77777777"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9810-568</w:t>
                    </w:r>
                  </w:p>
                  <w:p w14:paraId="055B4411" w14:textId="77777777" w:rsidR="00EC7126" w:rsidRPr="00073D11" w:rsidRDefault="00AF0315" w:rsidP="00EC7126">
                    <w:pPr>
                      <w:pStyle w:val="Header"/>
                      <w:spacing w:line="360" w:lineRule="auto"/>
                    </w:pPr>
                    <w:hyperlink r:id="rId3">
                      <w:r w:rsidR="00EC7126" w:rsidRPr="00F54D5B">
                        <w:rPr>
                          <w:rStyle w:val="Hyperlink"/>
                          <w:rFonts w:ascii="Arial" w:hAnsi="Arial" w:cs="Arial"/>
                          <w:sz w:val="16"/>
                        </w:rPr>
                        <w:t>simone.hammerl@kraiburg-tpe.com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AF0315"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C94187" w14:textId="77777777" w:rsidR="00A82FD5" w:rsidRDefault="00A82FD5" w:rsidP="00784C57">
      <w:pPr>
        <w:spacing w:after="0" w:line="240" w:lineRule="auto"/>
      </w:pPr>
      <w:r>
        <w:separator/>
      </w:r>
    </w:p>
  </w:footnote>
  <w:footnote w:type="continuationSeparator" w:id="0">
    <w:p w14:paraId="0AF533B9" w14:textId="77777777" w:rsidR="00A82FD5" w:rsidRDefault="00A82FD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zh-CN" w:bidi="th-TH"/>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19FCC4BB" w14:textId="77777777" w:rsidR="001D41F8" w:rsidRPr="001F4135" w:rsidRDefault="001D41F8" w:rsidP="001D41F8">
          <w:pPr>
            <w:spacing w:after="0" w:line="360" w:lineRule="auto"/>
            <w:ind w:left="-105"/>
            <w:jc w:val="both"/>
            <w:rPr>
              <w:rFonts w:ascii="Arial" w:hAnsi="Arial" w:cs="Arial"/>
              <w:b/>
              <w:bCs/>
              <w:color w:val="365F91"/>
              <w:sz w:val="40"/>
              <w:szCs w:val="40"/>
            </w:rPr>
          </w:pPr>
          <w:r>
            <w:rPr>
              <w:rFonts w:ascii="Arial" w:hAnsi="Arial" w:cs="Arial"/>
              <w:b/>
              <w:bCs/>
              <w:sz w:val="16"/>
              <w:szCs w:val="16"/>
            </w:rPr>
            <w:t>Serving up innovation in smart kitchen appliances with TPE</w:t>
          </w:r>
        </w:p>
        <w:p w14:paraId="2513A90F" w14:textId="3E41AFFD" w:rsidR="00065A69" w:rsidRPr="001E1888" w:rsidRDefault="00065A69" w:rsidP="00065A69">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CE7054">
            <w:rPr>
              <w:rFonts w:ascii="Arial" w:hAnsi="Arial"/>
              <w:b/>
              <w:sz w:val="16"/>
              <w:szCs w:val="16"/>
            </w:rPr>
            <w:t>April</w:t>
          </w:r>
          <w:r>
            <w:rPr>
              <w:rFonts w:ascii="Arial" w:hAnsi="Arial"/>
              <w:b/>
              <w:sz w:val="16"/>
              <w:szCs w:val="16"/>
            </w:rPr>
            <w:t xml:space="preserve"> </w:t>
          </w:r>
          <w:r w:rsidRPr="001E1888">
            <w:rPr>
              <w:rFonts w:ascii="Arial" w:hAnsi="Arial"/>
              <w:b/>
              <w:sz w:val="16"/>
              <w:szCs w:val="16"/>
            </w:rPr>
            <w:t>20</w:t>
          </w:r>
          <w:r w:rsidR="00887A45">
            <w:rPr>
              <w:rFonts w:ascii="Arial" w:hAnsi="Arial"/>
              <w:b/>
              <w:sz w:val="16"/>
              <w:szCs w:val="16"/>
            </w:rPr>
            <w:t>20</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213074">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213074">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zh-CN" w:bidi="th-TH"/>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Default="003C4170" w:rsidP="001F413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bookmarkStart w:id="2" w:name="_Hlk21089242"/>
        </w:p>
        <w:p w14:paraId="5409A445" w14:textId="77777777" w:rsidR="0070487F" w:rsidRDefault="0070487F" w:rsidP="003C4170">
          <w:pPr>
            <w:spacing w:after="0" w:line="360" w:lineRule="auto"/>
            <w:ind w:left="-105"/>
            <w:jc w:val="both"/>
            <w:rPr>
              <w:rFonts w:ascii="Arial" w:hAnsi="Arial" w:cs="Arial"/>
              <w:b/>
              <w:bCs/>
              <w:sz w:val="16"/>
              <w:szCs w:val="16"/>
            </w:rPr>
          </w:pPr>
          <w:r w:rsidRPr="0070487F">
            <w:rPr>
              <w:rFonts w:ascii="Arial" w:hAnsi="Arial" w:cs="Arial"/>
              <w:b/>
              <w:bCs/>
              <w:sz w:val="16"/>
              <w:szCs w:val="16"/>
            </w:rPr>
            <w:t>TPE as a key material factor for more potent respiratory devices</w:t>
          </w:r>
          <w:bookmarkEnd w:id="2"/>
        </w:p>
        <w:p w14:paraId="765F9503" w14:textId="790944FD"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 xml:space="preserve">, </w:t>
          </w:r>
          <w:r w:rsidR="00CE7054">
            <w:rPr>
              <w:rFonts w:ascii="Arial" w:hAnsi="Arial"/>
              <w:b/>
              <w:sz w:val="16"/>
              <w:szCs w:val="16"/>
            </w:rPr>
            <w:t>April</w:t>
          </w:r>
          <w:r w:rsidR="001F4135">
            <w:rPr>
              <w:rFonts w:ascii="Arial" w:hAnsi="Arial"/>
              <w:b/>
              <w:sz w:val="16"/>
              <w:szCs w:val="16"/>
            </w:rPr>
            <w:t xml:space="preserve"> 2020</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21307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21307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Kawasan Perindustrian Balakong</w:t>
          </w:r>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3DAF"/>
    <w:rsid w:val="001C4EAE"/>
    <w:rsid w:val="001C701E"/>
    <w:rsid w:val="001D41F8"/>
    <w:rsid w:val="001E1888"/>
    <w:rsid w:val="001F37C4"/>
    <w:rsid w:val="001F4135"/>
    <w:rsid w:val="001F4F5D"/>
    <w:rsid w:val="00201710"/>
    <w:rsid w:val="002129DC"/>
    <w:rsid w:val="00213074"/>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35124"/>
    <w:rsid w:val="003415ED"/>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0669A"/>
    <w:rsid w:val="00610497"/>
    <w:rsid w:val="00614010"/>
    <w:rsid w:val="00614013"/>
    <w:rsid w:val="006154FB"/>
    <w:rsid w:val="00620F45"/>
    <w:rsid w:val="00621FED"/>
    <w:rsid w:val="0063701A"/>
    <w:rsid w:val="0064765B"/>
    <w:rsid w:val="006612CA"/>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0487F"/>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2FD5"/>
    <w:rsid w:val="00A832FB"/>
    <w:rsid w:val="00AA66C4"/>
    <w:rsid w:val="00AB48F2"/>
    <w:rsid w:val="00AB4BC4"/>
    <w:rsid w:val="00AD13B3"/>
    <w:rsid w:val="00AD29B8"/>
    <w:rsid w:val="00AD5919"/>
    <w:rsid w:val="00AD6D80"/>
    <w:rsid w:val="00AE1711"/>
    <w:rsid w:val="00AE2D28"/>
    <w:rsid w:val="00AF0315"/>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9507E"/>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E7054"/>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438BC"/>
    <w:rsid w:val="00E52729"/>
    <w:rsid w:val="00E533F6"/>
    <w:rsid w:val="00E57256"/>
    <w:rsid w:val="00E61AA8"/>
    <w:rsid w:val="00E63371"/>
    <w:rsid w:val="00E72840"/>
    <w:rsid w:val="00E75CF3"/>
    <w:rsid w:val="00E812C0"/>
    <w:rsid w:val="00E908C9"/>
    <w:rsid w:val="00E94D68"/>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simone.hammerl@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simone.hammerl@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0B4E0-53A9-4984-BDE9-5F6B073EC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744</Words>
  <Characters>4241</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2020-03-13T06:49:00Z</dcterms:created>
  <dcterms:modified xsi:type="dcterms:W3CDTF">2020-03-26T02:39:00Z</dcterms:modified>
</cp:coreProperties>
</file>