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C826C" w14:textId="2F3DF39E" w:rsidR="00A74C28" w:rsidRPr="00DA2F16" w:rsidRDefault="00DA2F16" w:rsidP="007B7A51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DA2F16">
        <w:rPr>
          <w:rFonts w:ascii="Arial" w:eastAsia="MingLiU" w:hAnsi="Arial" w:cs="Arial"/>
          <w:b/>
          <w:sz w:val="24"/>
          <w:szCs w:val="24"/>
          <w:lang w:eastAsia="zh-CN"/>
        </w:rPr>
        <w:t>凱柏膠寶推出適用於精華液包裝設計的創新</w:t>
      </w:r>
      <w:r w:rsidRPr="00DA2F16">
        <w:rPr>
          <w:rFonts w:ascii="Arial" w:eastAsia="MingLiU" w:hAnsi="Arial" w:cs="Arial"/>
          <w:b/>
          <w:sz w:val="24"/>
          <w:szCs w:val="24"/>
          <w:lang w:eastAsia="zh-CN"/>
        </w:rPr>
        <w:t xml:space="preserve"> TPE</w:t>
      </w:r>
      <w:r w:rsidRPr="00DA2F16">
        <w:rPr>
          <w:rFonts w:ascii="Arial" w:eastAsia="MingLiU" w:hAnsi="Arial" w:cs="Arial"/>
          <w:b/>
          <w:sz w:val="24"/>
          <w:szCs w:val="24"/>
          <w:lang w:eastAsia="zh-CN"/>
        </w:rPr>
        <w:t>材料</w:t>
      </w:r>
    </w:p>
    <w:p w14:paraId="6B919528" w14:textId="76B7D31B" w:rsidR="00DA2F16" w:rsidRPr="00DA2F16" w:rsidRDefault="00DA2F16" w:rsidP="00DA2F16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凱柏膠寶是一家為多個行業提供各種熱塑性彈性體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(TPE) 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產品和客製化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材料解決方案的全球製造商。憑藉其美觀的包裝特性，為護膚品包裝領域提供了熱塑寶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K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（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THERMOLAST® K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和科柔寶</w:t>
      </w:r>
      <w:r w:rsidRPr="00DA2F16">
        <w:rPr>
          <w:rFonts w:ascii="MingLiU" w:eastAsia="MingLiU" w:hAnsi="MingLiU" w:cs="Arial"/>
          <w:color w:val="000000" w:themeColor="text1"/>
          <w:sz w:val="20"/>
          <w:szCs w:val="20"/>
          <w:lang w:eastAsia="zh-CN"/>
        </w:rPr>
        <w:t>®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（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COPEC®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精選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TPE 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材料系列。</w:t>
      </w:r>
    </w:p>
    <w:p w14:paraId="4B141CA9" w14:textId="77777777" w:rsidR="00DA2F16" w:rsidRPr="00DA2F16" w:rsidRDefault="00DA2F16" w:rsidP="00DA2F16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22AA5D2C" w14:textId="2ACAAB4E" w:rsidR="007F374D" w:rsidRPr="00F01035" w:rsidRDefault="00F01035" w:rsidP="00DA2F16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hyperlink r:id="rId11" w:history="1">
        <w:proofErr w:type="gramStart"/>
        <w:r w:rsidR="00DA2F16" w:rsidRPr="00F0103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</w:t>
        </w:r>
        <w:proofErr w:type="gramEnd"/>
        <w:r w:rsidR="00DA2F16" w:rsidRPr="00F0103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塑寶</w:t>
        </w:r>
        <w:r w:rsidR="00DA2F16" w:rsidRPr="00F0103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K</w:t>
        </w:r>
        <w:r w:rsidR="00DA2F16" w:rsidRPr="00F0103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="00DA2F16" w:rsidRPr="00F0103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THERMOLAST® K</w:t>
        </w:r>
        <w:r w:rsidR="00DA2F16" w:rsidRPr="00F0103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="00DA2F16"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和</w:t>
      </w:r>
      <w:hyperlink r:id="rId12" w:history="1">
        <w:r w:rsidR="00DA2F16" w:rsidRPr="00F0103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科柔寶</w:t>
        </w:r>
        <w:r w:rsidR="00DA2F16" w:rsidRPr="00F01035">
          <w:rPr>
            <w:rStyle w:val="Hyperlink"/>
            <w:rFonts w:ascii="MingLiU" w:eastAsia="MingLiU" w:hAnsi="MingLiU" w:cs="Arial"/>
            <w:sz w:val="20"/>
            <w:szCs w:val="20"/>
            <w:lang w:eastAsia="zh-CN"/>
          </w:rPr>
          <w:t xml:space="preserve">® </w:t>
        </w:r>
        <w:r w:rsidR="00DA2F16" w:rsidRPr="00F0103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="00DA2F16" w:rsidRPr="00F0103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COPEC®</w:t>
        </w:r>
        <w:r w:rsidR="00DA2F16" w:rsidRPr="00F0103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="00DA2F16"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系列的精選</w:t>
      </w:r>
      <w:r w:rsidR="00DA2F16"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="00DA2F16"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材料特別適合精華液包裝設計</w:t>
      </w:r>
      <w:proofErr w:type="gramStart"/>
      <w:r w:rsidR="00DA2F16"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="00DA2F16"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用，其優化的</w:t>
      </w:r>
      <w:proofErr w:type="gramStart"/>
      <w:r w:rsidR="00DA2F16"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壓</w:t>
      </w:r>
      <w:proofErr w:type="gramEnd"/>
      <w:r w:rsidR="00DA2F16"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縮永久變形性能突顯了用</w:t>
      </w:r>
      <w:proofErr w:type="gramStart"/>
      <w:r w:rsidR="00DA2F16"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戶</w:t>
      </w:r>
      <w:proofErr w:type="gramEnd"/>
      <w:r w:rsidR="00DA2F16"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舒適性和產品保護性，同時也滿足製造商和消費者的需求。</w:t>
      </w:r>
    </w:p>
    <w:p w14:paraId="652CA415" w14:textId="77777777" w:rsidR="00DA2F16" w:rsidRPr="00F01035" w:rsidRDefault="00DA2F16" w:rsidP="00DA2F16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003CB813" w14:textId="77777777" w:rsidR="00DA2F16" w:rsidRPr="00F01035" w:rsidRDefault="00DA2F16" w:rsidP="00DA2F16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F0103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熱塑寶</w:t>
      </w:r>
      <w:r w:rsidRPr="00F0103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K</w:t>
      </w:r>
      <w:r w:rsidRPr="00F0103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（</w:t>
      </w:r>
      <w:r w:rsidRPr="00F0103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THERMOLAST® K</w:t>
      </w:r>
      <w:r w:rsidRPr="00F0103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）系列的關鍵材料優勢包括：</w:t>
      </w:r>
    </w:p>
    <w:p w14:paraId="44C00223" w14:textId="4CE88994" w:rsidR="0030288B" w:rsidRPr="00F01035" w:rsidRDefault="00DA2F16" w:rsidP="0030288B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F0103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靈活性：</w:t>
      </w: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可塑造成各種形狀和尺寸，為不同精華液配方的特定需求提供客製化的</w:t>
      </w: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材料包裝解決方案。這不僅能提供功能性的優</w:t>
      </w:r>
      <w:proofErr w:type="gramStart"/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勢</w:t>
      </w:r>
      <w:proofErr w:type="gramEnd"/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，還能</w:t>
      </w:r>
      <w:proofErr w:type="gramStart"/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帶來</w:t>
      </w:r>
      <w:proofErr w:type="gramEnd"/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美觀的</w:t>
      </w:r>
      <w:hyperlink r:id="rId13" w:history="1">
        <w:r w:rsidRPr="00F0103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包裝效果</w:t>
        </w:r>
      </w:hyperlink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。</w:t>
      </w:r>
    </w:p>
    <w:p w14:paraId="639B28F4" w14:textId="77777777" w:rsidR="0030288B" w:rsidRPr="00F01035" w:rsidRDefault="00DA2F16" w:rsidP="0030288B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F0103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耐久性：</w:t>
      </w: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具有良好的耐磨損性，適合在運輸和使用過程中可能受到搬運的包裝。這種耐久性能確保產品免受損壞。</w:t>
      </w:r>
    </w:p>
    <w:p w14:paraId="08C8DB51" w14:textId="77777777" w:rsidR="0030288B" w:rsidRPr="00F01035" w:rsidRDefault="00DA2F16" w:rsidP="0030288B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F0103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密封性能：</w:t>
      </w: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優良的密封性能不僅可以防止精華液洩漏，同時還能保持精華液內部的完整性，避免交叉污染，確保產品安全。</w:t>
      </w:r>
    </w:p>
    <w:p w14:paraId="2BDAF823" w14:textId="77777777" w:rsidR="0030288B" w:rsidRPr="00F01035" w:rsidRDefault="00DA2F16" w:rsidP="0030288B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F0103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加工便利性：</w:t>
      </w: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使用於常見的製造技術如注塑或擠出工藝，能夠高效生產出高品質的護膚品包裝組件。</w:t>
      </w:r>
    </w:p>
    <w:p w14:paraId="302199C0" w14:textId="77777777" w:rsidR="0030288B" w:rsidRPr="00F01035" w:rsidRDefault="00DA2F16" w:rsidP="0030288B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F0103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耐化學性：</w:t>
      </w: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創新</w:t>
      </w: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材料確保保養品包裝的安全性和完整性，即使暴露於各種化學物質下也能表現優異。我司精選的</w:t>
      </w: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化合物對諸如異十二烷等常見的化妝品物質表現出良好的耐化學性，確保產品的長久性和安全性。</w:t>
      </w:r>
    </w:p>
    <w:p w14:paraId="2FADD54E" w14:textId="18131BE3" w:rsidR="00DA2F16" w:rsidRPr="00F01035" w:rsidRDefault="00DA2F16" w:rsidP="0030288B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F0103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lastRenderedPageBreak/>
        <w:t>高品質表面：</w:t>
      </w: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保養品包裝的視覺美學吸引力與其實用特性同等重要。所選用的</w:t>
      </w: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材料提供優質的表面質量，既富有彈性又具有韌性，提升包裝的整體外觀和手感。</w:t>
      </w:r>
    </w:p>
    <w:p w14:paraId="62A03FA7" w14:textId="77777777" w:rsidR="0030288B" w:rsidRPr="00F01035" w:rsidRDefault="0030288B" w:rsidP="0030288B">
      <w:pPr>
        <w:pStyle w:val="ListParagraph"/>
        <w:spacing w:line="360" w:lineRule="auto"/>
        <w:ind w:right="1559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</w:p>
    <w:p w14:paraId="16BDC00C" w14:textId="5710843C" w:rsidR="00A74C28" w:rsidRPr="00F01035" w:rsidRDefault="0060093D" w:rsidP="00DA2F16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F0103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典型的应用领域</w:t>
      </w:r>
      <w:r w:rsidRPr="00F0103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</w:p>
    <w:p w14:paraId="21ACEE57" w14:textId="7922E99B" w:rsidR="00DA2F16" w:rsidRPr="00F01035" w:rsidRDefault="00DA2F16" w:rsidP="007B7A51">
      <w:pPr>
        <w:spacing w:line="360" w:lineRule="auto"/>
        <w:ind w:right="1559"/>
        <w:jc w:val="both"/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</w:pP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凱柏膠寶的創新</w:t>
      </w: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="00A40758"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</w:t>
      </w:r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不僅限</w:t>
      </w:r>
      <w:proofErr w:type="gramStart"/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於</w:t>
      </w:r>
      <w:proofErr w:type="gramEnd"/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精華液包裝，同時也適合廣泛的美容</w:t>
      </w:r>
      <w:hyperlink r:id="rId14" w:history="1">
        <w:r w:rsidRPr="00F0103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包裝</w:t>
        </w:r>
        <w:proofErr w:type="gramStart"/>
        <w:r w:rsidRPr="00F0103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應</w:t>
        </w:r>
        <w:proofErr w:type="gramEnd"/>
        <w:r w:rsidRPr="00F0103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用</w:t>
        </w:r>
      </w:hyperlink>
      <w:r w:rsidRPr="00F0103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。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創新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="00A407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適</w:t>
      </w:r>
      <w:proofErr w:type="gramStart"/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用於</w:t>
      </w:r>
      <w:proofErr w:type="gramEnd"/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瓶管、瓶蓋、分配器及各種保養品及化妝品的包裝組件。此外，創新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材料的功能性和優越性能使其成</w:t>
      </w:r>
      <w:proofErr w:type="gramStart"/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各個美容品牌包裝</w:t>
      </w:r>
      <w:proofErr w:type="gramStart"/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用的理想選</w:t>
      </w:r>
      <w:proofErr w:type="gramStart"/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擇</w:t>
      </w:r>
      <w:proofErr w:type="gramEnd"/>
      <w:r w:rsidRPr="00DA2F16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。</w:t>
      </w:r>
    </w:p>
    <w:p w14:paraId="47F2A752" w14:textId="1240E3D7" w:rsidR="00A74C28" w:rsidRPr="00DA2F16" w:rsidRDefault="00DA2F16" w:rsidP="007B7A51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DA2F16">
        <w:rPr>
          <w:rFonts w:ascii="Arial" w:eastAsia="MingLiU" w:hAnsi="Arial" w:cs="Arial"/>
          <w:sz w:val="20"/>
          <w:szCs w:val="20"/>
          <w:lang w:eastAsia="zh-CN"/>
        </w:rPr>
        <w:t>有關凱柏膠寶在包裝方面的</w:t>
      </w:r>
      <w:r w:rsidRPr="00DA2F16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DA2F16">
        <w:rPr>
          <w:rFonts w:ascii="Arial" w:eastAsia="MingLiU" w:hAnsi="Arial" w:cs="Arial"/>
          <w:sz w:val="20"/>
          <w:szCs w:val="20"/>
          <w:lang w:eastAsia="zh-CN"/>
        </w:rPr>
        <w:t>材料解決方案的更多信息，請訪問</w:t>
      </w:r>
      <w:r w:rsidR="00A40758" w:rsidRPr="00A40758">
        <w:rPr>
          <w:rFonts w:ascii="Arial" w:eastAsia="MingLiU" w:hAnsi="Arial" w:cs="Arial" w:hint="eastAsia"/>
          <w:sz w:val="20"/>
          <w:szCs w:val="20"/>
          <w:lang w:eastAsia="zh-CN"/>
        </w:rPr>
        <w:t>官網</w:t>
      </w:r>
      <w:r w:rsidRPr="00DA2F16">
        <w:rPr>
          <w:rFonts w:ascii="Arial" w:eastAsia="MingLiU" w:hAnsi="Arial" w:cs="Arial"/>
          <w:sz w:val="20"/>
          <w:szCs w:val="20"/>
          <w:lang w:eastAsia="zh-CN"/>
        </w:rPr>
        <w:t>：</w:t>
      </w:r>
      <w:hyperlink r:id="rId15" w:history="1">
        <w:r w:rsidR="00A74C28" w:rsidRPr="00DA2F16">
          <w:rPr>
            <w:rStyle w:val="Hyperlink"/>
            <w:rFonts w:ascii="Arial" w:eastAsia="MingLiU" w:hAnsi="Arial" w:cs="Arial"/>
            <w:b/>
            <w:bCs/>
            <w:sz w:val="20"/>
            <w:szCs w:val="20"/>
            <w:lang w:eastAsia="zh-CN"/>
          </w:rPr>
          <w:t>www.kraiburg-tpe.com</w:t>
        </w:r>
      </w:hyperlink>
      <w:r w:rsidR="00A74C28" w:rsidRPr="00DA2F16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</w:p>
    <w:p w14:paraId="10A95DB5" w14:textId="6D801024" w:rsidR="00A74C28" w:rsidRPr="00DA2F16" w:rsidRDefault="00DB30A8" w:rsidP="007B7A51">
      <w:pPr>
        <w:spacing w:line="360" w:lineRule="auto"/>
        <w:ind w:right="1559"/>
        <w:rPr>
          <w:rFonts w:ascii="Arial" w:eastAsia="MingLiU" w:hAnsi="Arial" w:cs="Arial"/>
          <w:b/>
          <w:bCs/>
          <w:sz w:val="20"/>
          <w:szCs w:val="20"/>
          <w:lang w:eastAsia="zh-CN" w:bidi="ar-SA"/>
        </w:rPr>
      </w:pPr>
      <w:r w:rsidRPr="00DA2F16">
        <w:rPr>
          <w:rFonts w:ascii="Arial" w:eastAsia="MingLiU" w:hAnsi="Arial" w:cs="Arial"/>
          <w:noProof/>
        </w:rPr>
        <w:drawing>
          <wp:inline distT="0" distB="0" distL="0" distR="0" wp14:anchorId="6D2BC27C" wp14:editId="4B1551CC">
            <wp:extent cx="4223462" cy="2336212"/>
            <wp:effectExtent l="0" t="0" r="5715" b="6985"/>
            <wp:docPr id="1058605724" name="Picture 1" descr="A close-up of two bott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605724" name="Picture 1" descr="A close-up of two bottl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084" cy="2348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E1E3B" w14:textId="77777777" w:rsidR="00DA2F16" w:rsidRPr="00961FBF" w:rsidRDefault="00DA2F16" w:rsidP="00DA2F16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（圖：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© 202</w:t>
      </w:r>
      <w:r>
        <w:rPr>
          <w:rFonts w:ascii="Arial" w:hAnsi="Arial" w:cs="Arial" w:hint="eastAsia"/>
          <w:b/>
          <w:sz w:val="20"/>
          <w:szCs w:val="20"/>
          <w:lang w:eastAsia="zh-CN"/>
        </w:rPr>
        <w:t>4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 xml:space="preserve"> 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凱柏膠寶版權所有）</w:t>
      </w:r>
    </w:p>
    <w:p w14:paraId="442A7867" w14:textId="77777777" w:rsidR="00DA2F16" w:rsidRPr="00EC6F8A" w:rsidRDefault="00DA2F16" w:rsidP="00DA2F16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7177EB76" w14:textId="77777777" w:rsidR="00605ED9" w:rsidRPr="00DA2F16" w:rsidRDefault="00605ED9" w:rsidP="007B7A51">
      <w:pPr>
        <w:spacing w:after="0" w:line="360" w:lineRule="auto"/>
        <w:ind w:right="1559"/>
        <w:rPr>
          <w:rFonts w:ascii="Arial" w:eastAsia="MingLiU" w:hAnsi="Arial" w:cs="Arial"/>
          <w:sz w:val="20"/>
          <w:szCs w:val="20"/>
        </w:rPr>
      </w:pPr>
    </w:p>
    <w:p w14:paraId="02E72BD1" w14:textId="77777777" w:rsidR="00DA2F16" w:rsidRPr="00787F1D" w:rsidRDefault="00DA2F16" w:rsidP="00DA2F16">
      <w:pPr>
        <w:keepNext/>
        <w:keepLines/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</w:p>
    <w:p w14:paraId="7988A7C5" w14:textId="77777777" w:rsidR="00DA2F16" w:rsidRPr="00202B2E" w:rsidRDefault="00DA2F16" w:rsidP="00DA2F16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Pr="00202B2E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62336" behindDoc="0" locked="0" layoutInCell="1" allowOverlap="1" wp14:anchorId="0A992F47" wp14:editId="31B760D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1DCF27" w14:textId="77777777" w:rsidR="00DA2F16" w:rsidRPr="00EC6F8A" w:rsidRDefault="00DA2F16" w:rsidP="00DA2F16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DA2F16" w:rsidRDefault="009D2688" w:rsidP="007B7A51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DA2F16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328EF2" w14:textId="77777777" w:rsidR="00DA2F16" w:rsidRPr="00EC6F8A" w:rsidRDefault="00DA2F16" w:rsidP="00DA2F16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14653B29" w14:textId="77777777" w:rsidR="009D2688" w:rsidRPr="00DA2F16" w:rsidRDefault="009D2688" w:rsidP="007B7A51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020DD930" w14:textId="3046C36A" w:rsidR="009D2688" w:rsidRPr="00DA2F16" w:rsidRDefault="00DA2F16" w:rsidP="00DA2F16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DA2F16" w:rsidRDefault="009D2688" w:rsidP="007B7A51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DA2F16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DA2F16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2F16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DA2F16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2F16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DA2F16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2F16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DA2F16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DA2F16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2F16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DA2F16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6AFA3BA7" w:rsidR="009D2688" w:rsidRPr="00DA2F16" w:rsidRDefault="00DA2F16" w:rsidP="007B7A51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4630E342" w14:textId="40660A03" w:rsidR="009D2688" w:rsidRPr="00DA2F16" w:rsidRDefault="009D2688" w:rsidP="007B7A51">
      <w:pPr>
        <w:ind w:right="1559"/>
        <w:rPr>
          <w:rFonts w:ascii="Arial" w:eastAsia="MingLiU" w:hAnsi="Arial" w:cs="Arial"/>
          <w:b/>
          <w:sz w:val="20"/>
          <w:szCs w:val="20"/>
          <w:lang w:val="en-MY"/>
        </w:rPr>
      </w:pPr>
      <w:r w:rsidRPr="00DA2F16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ABD081" w14:textId="77777777" w:rsidR="00DA2F16" w:rsidRPr="00EC6F8A" w:rsidRDefault="00DA2F16" w:rsidP="00DA2F16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1E69D1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是一家業務足跡遍布全球的客製化熱塑性彈性體製造商。凱柏膠寶成立於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年，是凱柏集團旗下的獨立業務單位，現已成為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化合物領域最具競爭力的產業領導者。本公司旨在為客戶提供安全、可靠</w:t>
      </w:r>
      <w:r>
        <w:rPr>
          <w:rFonts w:asciiTheme="minorEastAsia" w:hAnsiTheme="minorEastAsia" w:cs="Arial" w:hint="eastAsia"/>
          <w:sz w:val="20"/>
          <w:szCs w:val="20"/>
          <w:lang w:eastAsia="zh-CN"/>
        </w:rPr>
        <w:t>和</w:t>
      </w:r>
      <w:r w:rsidRPr="00202B2E">
        <w:rPr>
          <w:rFonts w:ascii="MingLiU" w:eastAsia="MingLiU" w:hAnsi="MingLiU" w:cs="Arial" w:hint="eastAsia"/>
          <w:sz w:val="20"/>
          <w:szCs w:val="20"/>
          <w:lang w:eastAsia="zh-CN"/>
        </w:rPr>
        <w:t>可定製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的產品。公司擁有超過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CF087A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、高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尼塑</w:t>
      </w:r>
      <w:proofErr w:type="gramEnd"/>
      <w:r w:rsidRPr="00CF087A">
        <w:rPr>
          <w:rFonts w:ascii="MingLiU" w:eastAsia="MingLiU" w:hAnsi="MingLiU" w:cs="Arial"/>
          <w:sz w:val="20"/>
          <w:szCs w:val="20"/>
          <w:lang w:eastAsia="zh-CN"/>
        </w:rPr>
        <w:t>寶®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，透過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用注塑或擠出工藝，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各行各業的製造商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出眾的加工和產品設計優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。凱柏膠寶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有卓越的創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新能力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和全球客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戶導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向，能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夠為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提供客製化產品解決方案和可靠的配套服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。該公司在德國的總部經過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259AFD04" w14:textId="72630B0C" w:rsidR="001655F4" w:rsidRPr="00DA2F16" w:rsidRDefault="001655F4" w:rsidP="00DA2F16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sectPr w:rsidR="001655F4" w:rsidRPr="00DA2F16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0A6A29DC" w:rsidR="008D6B76" w:rsidRPr="00073D11" w:rsidRDefault="00DA2F16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5D49006" wp14:editId="66A60B5F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DF460" w14:textId="77777777" w:rsidR="00DA2F16" w:rsidRPr="000D5D1A" w:rsidRDefault="00DA2F16" w:rsidP="00DA2F16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1634C18C" w14:textId="77777777" w:rsidR="00DA2F16" w:rsidRPr="000D5D1A" w:rsidRDefault="00DA2F16" w:rsidP="00DA2F16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0F1D3F5" w14:textId="77777777" w:rsidR="00DA2F16" w:rsidRPr="000D5D1A" w:rsidRDefault="00DA2F16" w:rsidP="00DA2F1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85D050A" w14:textId="77777777" w:rsidR="00DA2F16" w:rsidRPr="000D5D1A" w:rsidRDefault="00DA2F16" w:rsidP="00DA2F1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039742D4" w14:textId="77777777" w:rsidR="00DA2F16" w:rsidRPr="000D5D1A" w:rsidRDefault="00DA2F16" w:rsidP="00DA2F1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5CEB7710" w14:textId="77777777" w:rsidR="00DA2F16" w:rsidRPr="000D5D1A" w:rsidRDefault="00DA2F16" w:rsidP="00DA2F1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5043758E" w14:textId="77777777" w:rsidR="00DA2F16" w:rsidRPr="000D5D1A" w:rsidRDefault="00732B85" w:rsidP="00DA2F1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DA2F16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701B322" w14:textId="77777777" w:rsidR="00DA2F16" w:rsidRPr="000D5D1A" w:rsidRDefault="00DA2F16" w:rsidP="00DA2F1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742046F" w14:textId="77777777" w:rsidR="00DA2F16" w:rsidRPr="000D5D1A" w:rsidRDefault="00DA2F16" w:rsidP="00DA2F1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2AB0CB13" w14:textId="77777777" w:rsidR="00DA2F16" w:rsidRPr="000D5D1A" w:rsidRDefault="00DA2F16" w:rsidP="00DA2F1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5B6B6CF2" w14:textId="77777777" w:rsidR="00DA2F16" w:rsidRPr="000D5D1A" w:rsidRDefault="00DA2F16" w:rsidP="00DA2F1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433F5FF9" w14:textId="77777777" w:rsidR="00DA2F16" w:rsidRPr="000D5D1A" w:rsidRDefault="00DA2F16" w:rsidP="00DA2F1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7151A80C" w14:textId="77777777" w:rsidR="00DA2F16" w:rsidRPr="000D5D1A" w:rsidRDefault="00732B85" w:rsidP="00DA2F1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DA2F16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4A8D755" w14:textId="77777777" w:rsidR="00DA2F16" w:rsidRPr="000D5D1A" w:rsidRDefault="00DA2F16" w:rsidP="00DA2F1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59C533" w14:textId="77777777" w:rsidR="00DA2F16" w:rsidRPr="001E1888" w:rsidRDefault="00DA2F16" w:rsidP="00DA2F1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AEF0FE4" w14:textId="77777777" w:rsidR="00DA2F16" w:rsidRPr="001E1888" w:rsidRDefault="00DA2F16" w:rsidP="00DA2F1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04179EB" w14:textId="77777777" w:rsidR="00DA2F16" w:rsidRPr="001E1888" w:rsidRDefault="00DA2F16" w:rsidP="00DA2F1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AEEE8EB" w14:textId="77777777" w:rsidR="00DA2F16" w:rsidRPr="001E1888" w:rsidRDefault="00DA2F16" w:rsidP="00DA2F1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D490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161DF460" w14:textId="77777777" w:rsidR="00DA2F16" w:rsidRPr="000D5D1A" w:rsidRDefault="00DA2F16" w:rsidP="00DA2F16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1634C18C" w14:textId="77777777" w:rsidR="00DA2F16" w:rsidRPr="000D5D1A" w:rsidRDefault="00DA2F16" w:rsidP="00DA2F16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0F1D3F5" w14:textId="77777777" w:rsidR="00DA2F16" w:rsidRPr="000D5D1A" w:rsidRDefault="00DA2F16" w:rsidP="00DA2F1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85D050A" w14:textId="77777777" w:rsidR="00DA2F16" w:rsidRPr="000D5D1A" w:rsidRDefault="00DA2F16" w:rsidP="00DA2F1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039742D4" w14:textId="77777777" w:rsidR="00DA2F16" w:rsidRPr="000D5D1A" w:rsidRDefault="00DA2F16" w:rsidP="00DA2F1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5CEB7710" w14:textId="77777777" w:rsidR="00DA2F16" w:rsidRPr="000D5D1A" w:rsidRDefault="00DA2F16" w:rsidP="00DA2F1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5043758E" w14:textId="77777777" w:rsidR="00DA2F16" w:rsidRPr="000D5D1A" w:rsidRDefault="00DA2F16" w:rsidP="00DA2F1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701B322" w14:textId="77777777" w:rsidR="00DA2F16" w:rsidRPr="000D5D1A" w:rsidRDefault="00DA2F16" w:rsidP="00DA2F16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742046F" w14:textId="77777777" w:rsidR="00DA2F16" w:rsidRPr="000D5D1A" w:rsidRDefault="00DA2F16" w:rsidP="00DA2F1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2AB0CB13" w14:textId="77777777" w:rsidR="00DA2F16" w:rsidRPr="000D5D1A" w:rsidRDefault="00DA2F16" w:rsidP="00DA2F1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5B6B6CF2" w14:textId="77777777" w:rsidR="00DA2F16" w:rsidRPr="000D5D1A" w:rsidRDefault="00DA2F16" w:rsidP="00DA2F1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433F5FF9" w14:textId="77777777" w:rsidR="00DA2F16" w:rsidRPr="000D5D1A" w:rsidRDefault="00DA2F16" w:rsidP="00DA2F1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7151A80C" w14:textId="77777777" w:rsidR="00DA2F16" w:rsidRPr="000D5D1A" w:rsidRDefault="00DA2F16" w:rsidP="00DA2F1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4A8D755" w14:textId="77777777" w:rsidR="00DA2F16" w:rsidRPr="000D5D1A" w:rsidRDefault="00DA2F16" w:rsidP="00DA2F16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3C59C533" w14:textId="77777777" w:rsidR="00DA2F16" w:rsidRPr="001E1888" w:rsidRDefault="00DA2F16" w:rsidP="00DA2F1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AEF0FE4" w14:textId="77777777" w:rsidR="00DA2F16" w:rsidRPr="001E1888" w:rsidRDefault="00DA2F16" w:rsidP="00DA2F1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04179EB" w14:textId="77777777" w:rsidR="00DA2F16" w:rsidRPr="001E1888" w:rsidRDefault="00DA2F16" w:rsidP="00DA2F1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AEEE8EB" w14:textId="77777777" w:rsidR="00DA2F16" w:rsidRPr="001E1888" w:rsidRDefault="00DA2F16" w:rsidP="00DA2F1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61030741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F01035" w14:paraId="12FEEFFC" w14:textId="77777777" w:rsidTr="00502615">
      <w:tc>
        <w:tcPr>
          <w:tcW w:w="6912" w:type="dxa"/>
        </w:tcPr>
        <w:p w14:paraId="47FB6352" w14:textId="77777777" w:rsidR="00DA2F16" w:rsidRPr="00DA2F16" w:rsidRDefault="00DA2F16" w:rsidP="00DA2F1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DA2F16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21E1DB4" w14:textId="14A0DD99" w:rsidR="00DA2F16" w:rsidRPr="00DA2F16" w:rsidRDefault="00DA2F16" w:rsidP="00DA2F1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凱柏膠寶推出適用於精華液包裝設計的創新</w:t>
          </w:r>
          <w:r w:rsidRPr="00DA2F1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TPE</w:t>
          </w:r>
          <w:r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材料</w:t>
          </w:r>
        </w:p>
        <w:p w14:paraId="28663EDC" w14:textId="77777777" w:rsidR="00DA2F16" w:rsidRPr="00DA2F16" w:rsidRDefault="00DA2F16" w:rsidP="00DA2F1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吉隆坡</w:t>
          </w:r>
          <w:r w:rsidRPr="00DA2F1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, 2024</w:t>
          </w:r>
          <w:r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DA2F1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8</w:t>
          </w:r>
          <w:r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07290B48" w:rsidR="00502615" w:rsidRPr="00F01035" w:rsidRDefault="00985E8E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F01035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DA2F1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F01035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DA2F1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F01035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DA2F1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DA2F16" w:rsidRPr="00F01035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DA2F16" w:rsidRPr="00DA2F1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F01035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F01035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DA2F1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F01035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DA2F1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F01035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DA2F1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DA2F16" w:rsidRPr="00F01035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DA2F16" w:rsidRPr="00DA2F1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F0103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F01035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9241358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4E27B482" w:rsidR="00947A2A" w:rsidRPr="00DA2F16" w:rsidRDefault="00DA2F16" w:rsidP="00DA2F1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A2F16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534291A1" w14:textId="519D24FD" w:rsidR="00DA2F16" w:rsidRPr="00DA2F16" w:rsidRDefault="00DA2F16" w:rsidP="00DA2F1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eastAsia="zh-CN"/>
            </w:rPr>
          </w:pPr>
          <w:r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凱柏膠寶推出適用於精華液包裝設計的創新</w:t>
          </w:r>
          <w:r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TPE</w:t>
          </w:r>
          <w:r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材料</w:t>
          </w:r>
        </w:p>
        <w:p w14:paraId="272EE62D" w14:textId="77777777" w:rsidR="00DA2F16" w:rsidRPr="00DA2F16" w:rsidRDefault="00DA2F16" w:rsidP="00DA2F1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eastAsia="zh-CN"/>
            </w:rPr>
          </w:pPr>
          <w:r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吉隆坡</w:t>
          </w:r>
          <w:r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, 2024</w:t>
          </w:r>
          <w:r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8</w:t>
          </w:r>
          <w:r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47FC3FBD" w:rsidR="003C4170" w:rsidRPr="00073D11" w:rsidRDefault="004974C0" w:rsidP="00DA2F1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DA2F1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DA2F1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DA2F1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DA2F1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DA2F1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DA2F1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DA2F16" w:rsidRPr="00DA2F1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DA2F16" w:rsidRPr="00DA2F1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DA2F1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Pr="00DA2F1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DA2F1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A2F1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DA2F1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DA2F1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DA2F1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DA2F16" w:rsidRPr="00DA2F1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DA2F16" w:rsidRPr="00DA2F1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1CD24FB6" w:rsidR="003C4170" w:rsidRPr="00502615" w:rsidRDefault="00DA2F16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BE3D6E">
            <w:rPr>
              <w:rFonts w:ascii="Arial" w:hAnsi="Arial" w:hint="eastAsia"/>
              <w:sz w:val="16"/>
            </w:rPr>
            <w:t>電話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51810"/>
    <w:multiLevelType w:val="hybridMultilevel"/>
    <w:tmpl w:val="CAC4673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52207E">
      <w:numFmt w:val="bullet"/>
      <w:lvlText w:val="•"/>
      <w:lvlJc w:val="left"/>
      <w:pPr>
        <w:ind w:left="1464" w:hanging="384"/>
      </w:pPr>
      <w:rPr>
        <w:rFonts w:ascii="Arial" w:eastAsia="SimHei" w:hAnsi="Arial" w:cs="Arial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FC55F6"/>
    <w:multiLevelType w:val="hybridMultilevel"/>
    <w:tmpl w:val="14FA1F4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68424C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ED177B"/>
    <w:multiLevelType w:val="hybridMultilevel"/>
    <w:tmpl w:val="E1F06F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1"/>
  </w:num>
  <w:num w:numId="3" w16cid:durableId="863325349">
    <w:abstractNumId w:val="1"/>
  </w:num>
  <w:num w:numId="4" w16cid:durableId="38749897">
    <w:abstractNumId w:val="23"/>
  </w:num>
  <w:num w:numId="5" w16cid:durableId="36393177">
    <w:abstractNumId w:val="15"/>
  </w:num>
  <w:num w:numId="6" w16cid:durableId="430276158">
    <w:abstractNumId w:val="19"/>
  </w:num>
  <w:num w:numId="7" w16cid:durableId="2015523692">
    <w:abstractNumId w:val="7"/>
  </w:num>
  <w:num w:numId="8" w16cid:durableId="267857598">
    <w:abstractNumId w:val="21"/>
  </w:num>
  <w:num w:numId="9" w16cid:durableId="1307515899">
    <w:abstractNumId w:val="16"/>
  </w:num>
  <w:num w:numId="10" w16cid:durableId="1656494008">
    <w:abstractNumId w:val="0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8"/>
  </w:num>
  <w:num w:numId="15" w16cid:durableId="738357932">
    <w:abstractNumId w:val="12"/>
  </w:num>
  <w:num w:numId="16" w16cid:durableId="197159555">
    <w:abstractNumId w:val="14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7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0"/>
  </w:num>
  <w:num w:numId="23" w16cid:durableId="1600605678">
    <w:abstractNumId w:val="22"/>
  </w:num>
  <w:num w:numId="24" w16cid:durableId="831414203">
    <w:abstractNumId w:val="10"/>
  </w:num>
  <w:num w:numId="25" w16cid:durableId="1061246184">
    <w:abstractNumId w:val="3"/>
  </w:num>
  <w:num w:numId="26" w16cid:durableId="8451668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67B53"/>
    <w:rsid w:val="00071236"/>
    <w:rsid w:val="00073D11"/>
    <w:rsid w:val="000759E8"/>
    <w:rsid w:val="0007628D"/>
    <w:rsid w:val="00077E64"/>
    <w:rsid w:val="000829C6"/>
    <w:rsid w:val="0008341D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342D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545C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21AA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0EB0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5061"/>
    <w:rsid w:val="002F135A"/>
    <w:rsid w:val="002F2061"/>
    <w:rsid w:val="002F4492"/>
    <w:rsid w:val="002F563D"/>
    <w:rsid w:val="002F573C"/>
    <w:rsid w:val="002F71C5"/>
    <w:rsid w:val="0030288B"/>
    <w:rsid w:val="00302F08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74C0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02A2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0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2B5"/>
    <w:rsid w:val="005A27C6"/>
    <w:rsid w:val="005A34EE"/>
    <w:rsid w:val="005A45F1"/>
    <w:rsid w:val="005A5D20"/>
    <w:rsid w:val="005A7FD1"/>
    <w:rsid w:val="005B1EA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3FF4"/>
    <w:rsid w:val="0060093D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67EC1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157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51B23"/>
    <w:rsid w:val="00754B1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3053"/>
    <w:rsid w:val="007A568B"/>
    <w:rsid w:val="007A5BF6"/>
    <w:rsid w:val="007A7755"/>
    <w:rsid w:val="007B1D9F"/>
    <w:rsid w:val="007B21F8"/>
    <w:rsid w:val="007B3E50"/>
    <w:rsid w:val="007B4C2D"/>
    <w:rsid w:val="007B730E"/>
    <w:rsid w:val="007B7A51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74D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48C2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4393"/>
    <w:rsid w:val="00895B7D"/>
    <w:rsid w:val="008A055F"/>
    <w:rsid w:val="008A073B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2BD"/>
    <w:rsid w:val="008E5B5F"/>
    <w:rsid w:val="008E7663"/>
    <w:rsid w:val="008F1106"/>
    <w:rsid w:val="008F3C99"/>
    <w:rsid w:val="008F46FE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76BB8"/>
    <w:rsid w:val="0098002D"/>
    <w:rsid w:val="00980DBB"/>
    <w:rsid w:val="00984A7C"/>
    <w:rsid w:val="00985E8E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151C"/>
    <w:rsid w:val="009D2688"/>
    <w:rsid w:val="009D61E9"/>
    <w:rsid w:val="009D70E1"/>
    <w:rsid w:val="009D76BB"/>
    <w:rsid w:val="009E74A0"/>
    <w:rsid w:val="009F452D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758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36C4"/>
    <w:rsid w:val="00A745FD"/>
    <w:rsid w:val="00A74C28"/>
    <w:rsid w:val="00A767E3"/>
    <w:rsid w:val="00A805C3"/>
    <w:rsid w:val="00A805F6"/>
    <w:rsid w:val="00A81CD7"/>
    <w:rsid w:val="00A8314D"/>
    <w:rsid w:val="00A832FB"/>
    <w:rsid w:val="00A91448"/>
    <w:rsid w:val="00A93D7F"/>
    <w:rsid w:val="00A96F30"/>
    <w:rsid w:val="00AA433C"/>
    <w:rsid w:val="00AA66C4"/>
    <w:rsid w:val="00AB1DB6"/>
    <w:rsid w:val="00AB4736"/>
    <w:rsid w:val="00AB48F2"/>
    <w:rsid w:val="00AB4AEA"/>
    <w:rsid w:val="00AB4BC4"/>
    <w:rsid w:val="00AC56C2"/>
    <w:rsid w:val="00AD13B3"/>
    <w:rsid w:val="00AD2227"/>
    <w:rsid w:val="00AD29B8"/>
    <w:rsid w:val="00AD492B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14CDA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7781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373D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09A4"/>
    <w:rsid w:val="00C44B97"/>
    <w:rsid w:val="00C4535D"/>
    <w:rsid w:val="00C46197"/>
    <w:rsid w:val="00C55745"/>
    <w:rsid w:val="00C566EF"/>
    <w:rsid w:val="00C56946"/>
    <w:rsid w:val="00C6246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065B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9DB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2F16"/>
    <w:rsid w:val="00DB2468"/>
    <w:rsid w:val="00DB30A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1008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1035"/>
    <w:rsid w:val="00F02134"/>
    <w:rsid w:val="00F05006"/>
    <w:rsid w:val="00F11E25"/>
    <w:rsid w:val="00F125F3"/>
    <w:rsid w:val="00F14841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5F79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34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63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5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88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773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68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49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547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967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0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335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02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53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C%96%E5%A6%86%E5%93%81%E5%8C%85%E8%A3%85TPE%E6%9D%90%E6%96%99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7%A7%91%E6%9F%94%E5%AE%9D%E6%B6%88%E8%B4%B9%E7%94%B5%E5%AD%90%E5%BA%94%E7%94%A8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5%AE%9DK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kraiburg-tpe.com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t/%E6%8E%A1%E7%94%A8TPE%E6%9D%90%E6%96%99%E6%8E%A8%E5%87%BA%E7%9A%84%E5%89%B5%E6%96%B0%E5%8C%85%E8%A3%9D%E8%A7%A3%E6%B1%BA%E6%96%B9%E6%A1%88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schemas.microsoft.com/office/2006/documentManagement/types"/>
    <ds:schemaRef ds:uri="8d3818be-6f21-4c29-ab13-78e30dc982d3"/>
    <ds:schemaRef ds:uri="http://schemas.microsoft.com/office/2006/metadata/properties"/>
    <ds:schemaRef ds:uri="b0aac98f-77e3-488e-b1d0-e526279ba76f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2024-06-25T02:41:00Z</dcterms:created>
  <dcterms:modified xsi:type="dcterms:W3CDTF">2024-07-25T02:39:00Z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