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59399" w14:textId="68A65EC7" w:rsidR="00C27AA5" w:rsidRPr="002013D3" w:rsidRDefault="00D407B4" w:rsidP="00D407B4">
      <w:pPr>
        <w:spacing w:after="0" w:line="360" w:lineRule="auto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proofErr w:type="gramStart"/>
      <w:r w:rsidRPr="002013D3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proofErr w:type="gramEnd"/>
      <w:r w:rsidRPr="002013D3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2013D3">
        <w:rPr>
          <w:rFonts w:ascii="Arial" w:eastAsia="SimHei" w:hAnsi="Arial" w:cs="Arial"/>
          <w:b/>
          <w:sz w:val="24"/>
          <w:szCs w:val="24"/>
          <w:lang w:eastAsia="zh-CN"/>
        </w:rPr>
        <w:t>为</w:t>
      </w:r>
      <w:r w:rsidR="000E149A" w:rsidRPr="002013D3">
        <w:rPr>
          <w:rFonts w:ascii="Arial" w:eastAsia="SimHei" w:hAnsi="Arial" w:cs="Arial"/>
          <w:b/>
          <w:sz w:val="24"/>
          <w:szCs w:val="24"/>
          <w:lang w:eastAsia="zh-CN"/>
        </w:rPr>
        <w:t>折叠</w:t>
      </w:r>
      <w:proofErr w:type="gramStart"/>
      <w:r w:rsidR="000E149A" w:rsidRPr="002013D3">
        <w:rPr>
          <w:rFonts w:ascii="Arial" w:eastAsia="SimHei" w:hAnsi="Arial" w:cs="Arial"/>
          <w:b/>
          <w:sz w:val="24"/>
          <w:szCs w:val="24"/>
          <w:lang w:eastAsia="zh-CN"/>
        </w:rPr>
        <w:t>桶</w:t>
      </w:r>
      <w:r w:rsidRPr="002013D3">
        <w:rPr>
          <w:rFonts w:ascii="Arial" w:eastAsia="SimHei" w:hAnsi="Arial" w:cs="Arial"/>
          <w:b/>
          <w:sz w:val="24"/>
          <w:szCs w:val="24"/>
          <w:lang w:eastAsia="zh-CN"/>
        </w:rPr>
        <w:t>提供</w:t>
      </w:r>
      <w:proofErr w:type="gramEnd"/>
      <w:r w:rsidRPr="002013D3">
        <w:rPr>
          <w:rFonts w:ascii="Arial" w:eastAsia="SimHei" w:hAnsi="Arial" w:cs="Arial"/>
          <w:b/>
          <w:sz w:val="24"/>
          <w:szCs w:val="24"/>
          <w:lang w:eastAsia="zh-CN"/>
        </w:rPr>
        <w:t>的先进可持续</w:t>
      </w:r>
      <w:r w:rsidRPr="002013D3">
        <w:rPr>
          <w:rFonts w:ascii="Arial" w:eastAsia="SimHei" w:hAnsi="Arial" w:cs="Arial"/>
          <w:b/>
          <w:sz w:val="24"/>
          <w:szCs w:val="24"/>
          <w:lang w:eastAsia="zh-CN"/>
        </w:rPr>
        <w:t>TPE</w:t>
      </w:r>
      <w:r w:rsidRPr="002013D3">
        <w:rPr>
          <w:rFonts w:ascii="Arial" w:eastAsia="SimHei" w:hAnsi="Arial" w:cs="Arial"/>
          <w:b/>
          <w:sz w:val="24"/>
          <w:szCs w:val="24"/>
          <w:lang w:eastAsia="zh-CN"/>
        </w:rPr>
        <w:t>解决方案</w:t>
      </w:r>
    </w:p>
    <w:p w14:paraId="3AAED450" w14:textId="77777777" w:rsidR="007B30C4" w:rsidRPr="002013D3" w:rsidRDefault="007B30C4" w:rsidP="00D407B4">
      <w:pPr>
        <w:spacing w:after="0" w:line="360" w:lineRule="auto"/>
        <w:jc w:val="both"/>
        <w:rPr>
          <w:rFonts w:ascii="Arial" w:eastAsia="SimHei" w:hAnsi="Arial" w:cs="Arial"/>
          <w:b/>
          <w:sz w:val="14"/>
          <w:szCs w:val="14"/>
          <w:lang w:eastAsia="zh-CN"/>
        </w:rPr>
      </w:pPr>
    </w:p>
    <w:p w14:paraId="2F0D6F18" w14:textId="6FB88D2B" w:rsidR="00D407B4" w:rsidRPr="002013D3" w:rsidRDefault="000E149A" w:rsidP="00D407B4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szCs w:val="20"/>
          <w:lang w:eastAsia="zh-CN"/>
        </w:rPr>
      </w:pPr>
      <w:proofErr w:type="gramStart"/>
      <w:r w:rsidRPr="002013D3">
        <w:rPr>
          <w:rFonts w:ascii="Arial" w:eastAsia="SimHei" w:hAnsi="Arial" w:cs="Arial"/>
          <w:bCs/>
          <w:sz w:val="20"/>
          <w:szCs w:val="20"/>
          <w:lang w:eastAsia="zh-CN"/>
        </w:rPr>
        <w:t>折叠桶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已成为</w:t>
      </w:r>
      <w:proofErr w:type="gramEnd"/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户外爱好者、旅行者和家庭不可或缺的伴侣，</w:t>
      </w:r>
      <w:r w:rsidR="007B30C4" w:rsidRPr="002013D3">
        <w:rPr>
          <w:rFonts w:ascii="Arial" w:eastAsia="SimHei" w:hAnsi="Arial" w:cs="Arial"/>
          <w:bCs/>
          <w:sz w:val="20"/>
          <w:szCs w:val="20"/>
          <w:lang w:eastAsia="zh-CN"/>
        </w:rPr>
        <w:t>因为它能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提供</w:t>
      </w:r>
      <w:r w:rsidR="007B30C4" w:rsidRPr="002013D3">
        <w:rPr>
          <w:rFonts w:ascii="Arial" w:eastAsia="SimHei" w:hAnsi="Arial" w:cs="Arial"/>
          <w:bCs/>
          <w:sz w:val="20"/>
          <w:szCs w:val="20"/>
          <w:lang w:eastAsia="zh-CN"/>
        </w:rPr>
        <w:t>无限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的便利性和便携性。</w:t>
      </w:r>
      <w:r w:rsidR="007B30C4" w:rsidRPr="002013D3">
        <w:rPr>
          <w:rFonts w:ascii="Arial" w:eastAsia="SimHei" w:hAnsi="Arial" w:cs="Arial" w:hint="eastAsia"/>
          <w:bCs/>
          <w:sz w:val="20"/>
          <w:szCs w:val="20"/>
          <w:lang w:eastAsia="zh-CN"/>
        </w:rPr>
        <w:t>我司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考虑到对环保和高性能解决方案的不断增长需求，</w:t>
      </w:r>
      <w:proofErr w:type="gramStart"/>
      <w:r w:rsidR="007B30C4" w:rsidRPr="002013D3">
        <w:rPr>
          <w:rFonts w:ascii="Arial" w:eastAsia="SimHei" w:hAnsi="Arial" w:cs="Arial" w:hint="eastAsia"/>
          <w:bCs/>
          <w:sz w:val="20"/>
          <w:szCs w:val="20"/>
          <w:lang w:eastAsia="zh-CN"/>
        </w:rPr>
        <w:t>凯柏胶宝</w:t>
      </w:r>
      <w:proofErr w:type="gramEnd"/>
      <w:r w:rsidR="007B30C4" w:rsidRPr="002013D3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推出其创新的热塑性弹性体（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TPE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）材料，</w:t>
      </w:r>
      <w:r w:rsidR="007B30C4" w:rsidRPr="002013D3">
        <w:rPr>
          <w:rFonts w:ascii="Arial" w:eastAsia="SimHei" w:hAnsi="Arial" w:cs="Arial" w:hint="eastAsia"/>
          <w:bCs/>
          <w:sz w:val="20"/>
          <w:szCs w:val="20"/>
          <w:lang w:eastAsia="zh-CN"/>
        </w:rPr>
        <w:t>目的在于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提升</w:t>
      </w:r>
      <w:r w:rsidRPr="002013D3">
        <w:rPr>
          <w:rFonts w:ascii="Arial" w:eastAsia="SimHei" w:hAnsi="Arial" w:cs="Arial"/>
          <w:bCs/>
          <w:sz w:val="20"/>
          <w:szCs w:val="20"/>
          <w:lang w:eastAsia="zh-CN"/>
        </w:rPr>
        <w:t>折叠桶</w:t>
      </w:r>
      <w:r w:rsidR="00D407B4" w:rsidRPr="002013D3">
        <w:rPr>
          <w:rFonts w:ascii="Arial" w:eastAsia="SimHei" w:hAnsi="Arial" w:cs="Arial"/>
          <w:bCs/>
          <w:sz w:val="20"/>
          <w:szCs w:val="20"/>
          <w:lang w:eastAsia="zh-CN"/>
        </w:rPr>
        <w:t>制造业。</w:t>
      </w:r>
    </w:p>
    <w:p w14:paraId="346B06FB" w14:textId="77777777" w:rsidR="002013D3" w:rsidRPr="002013D3" w:rsidRDefault="002013D3" w:rsidP="00D407B4">
      <w:pPr>
        <w:spacing w:line="360" w:lineRule="auto"/>
        <w:ind w:right="1559"/>
        <w:jc w:val="both"/>
        <w:rPr>
          <w:rFonts w:ascii="Arial" w:eastAsia="SimHei" w:hAnsi="Arial" w:cs="Arial" w:hint="eastAsia"/>
          <w:bCs/>
          <w:color w:val="000000" w:themeColor="text1"/>
          <w:sz w:val="6"/>
          <w:szCs w:val="6"/>
          <w:lang w:eastAsia="zh-CN"/>
        </w:rPr>
      </w:pPr>
    </w:p>
    <w:p w14:paraId="663D201C" w14:textId="75C08D39" w:rsidR="00C27AA5" w:rsidRPr="002013D3" w:rsidRDefault="00880307" w:rsidP="00D407B4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介绍</w:t>
      </w:r>
      <w:r w:rsidR="002013D3" w:rsidRPr="002013D3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热塑宝</w:t>
      </w:r>
      <w:r w:rsidR="007B30C4" w:rsidRPr="002013D3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R </w:t>
      </w:r>
      <w:r w:rsidR="007B30C4" w:rsidRPr="002013D3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（</w:t>
      </w:r>
      <w:r w:rsidR="00D407B4" w:rsidRPr="002013D3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</w:rPr>
        <w:t>THERMOLAST® R</w:t>
      </w:r>
      <w:r w:rsidR="007B30C4" w:rsidRPr="002013D3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="00D407B4" w:rsidRPr="002013D3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</w:rPr>
        <w:t xml:space="preserve"> RC/FC/PCR/AP</w:t>
      </w:r>
      <w:r w:rsidR="00D407B4" w:rsidRPr="002013D3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</w:rPr>
        <w:t>系列</w:t>
      </w:r>
    </w:p>
    <w:p w14:paraId="7300DD73" w14:textId="18B99692" w:rsidR="00D407B4" w:rsidRPr="002013D3" w:rsidRDefault="002013D3" w:rsidP="00D407B4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 w:hint="eastAsia"/>
          <w:bCs/>
          <w:sz w:val="20"/>
          <w:szCs w:val="20"/>
          <w:lang w:eastAsia="zh-CN"/>
        </w:rPr>
        <w:t>凯柏胶宝</w:t>
      </w:r>
      <w:r w:rsidRPr="002013D3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打造的</w:t>
      </w:r>
      <w:hyperlink r:id="rId11" w:history="1">
        <w:r w:rsidRPr="002013D3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热塑宝</w:t>
        </w:r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R </w:t>
        </w:r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R</w:t>
        </w:r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RC/FC/PCR/AP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系列代表了可持续</w:t>
      </w:r>
      <w:r w:rsidR="00880307" w:rsidRPr="002013D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性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材料工程的突破。这些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配方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含有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20%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后消费者回收利用含量，不仅环保，而且提供卓越的性能和耐久性</w:t>
      </w:r>
      <w:r w:rsidR="007B30C4" w:rsidRPr="002013D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。</w:t>
      </w:r>
    </w:p>
    <w:p w14:paraId="033C6849" w14:textId="77777777" w:rsidR="00D407B4" w:rsidRPr="002013D3" w:rsidRDefault="00D407B4" w:rsidP="00D407B4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28E3FA8C" w14:textId="63ED30BD" w:rsidR="00D407B4" w:rsidRDefault="002013D3" w:rsidP="00D407B4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热塑宝</w:t>
      </w:r>
      <w:r w:rsidRPr="002013D3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R</w:t>
      </w:r>
      <w:r w:rsidR="007B30C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7B30C4" w:rsidRPr="002013D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（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R</w:t>
      </w:r>
      <w:r w:rsidR="007B30C4" w:rsidRPr="002013D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）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系列的关键材料优势包括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:</w:t>
      </w:r>
    </w:p>
    <w:p w14:paraId="7910B79B" w14:textId="77777777" w:rsidR="002013D3" w:rsidRPr="002013D3" w:rsidRDefault="002013D3" w:rsidP="00D407B4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4D0F96BD" w14:textId="5691C702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与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PP</w:t>
      </w:r>
      <w:proofErr w:type="gramStart"/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</w:t>
      </w:r>
      <w:r w:rsidR="00527901" w:rsidRPr="002013D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包胶性能</w:t>
      </w:r>
      <w:proofErr w:type="gramEnd"/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，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确保</w:t>
      </w:r>
      <w:r w:rsidR="00527901" w:rsidRPr="002013D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材料之间能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牢固粘合</w:t>
      </w:r>
    </w:p>
    <w:p w14:paraId="6A16AE3E" w14:textId="08FB729A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热塑性</w:t>
      </w:r>
      <w:r w:rsidR="00527901" w:rsidRPr="002013D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材料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作为弹性体（如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EPDM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和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PVC-P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）的替代</w:t>
      </w:r>
      <w:r w:rsidR="00527901" w:rsidRPr="002013D3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材料</w:t>
      </w:r>
    </w:p>
    <w:p w14:paraId="03277BB6" w14:textId="7F3D545A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优化的机械性能，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提高耐用性</w:t>
      </w:r>
    </w:p>
    <w:p w14:paraId="1CC199E9" w14:textId="304BB624" w:rsidR="00D407B4" w:rsidRPr="002013D3" w:rsidRDefault="002013D3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hyperlink r:id="rId12" w:history="1">
        <w:r w:rsidR="00D407B4" w:rsidRPr="002013D3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非粘性表面</w:t>
        </w:r>
      </w:hyperlink>
      <w:r w:rsidR="00D407B4"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和柔软的触感，</w:t>
      </w:r>
      <w:r w:rsidR="00D407B4"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提升用户体验</w:t>
      </w:r>
    </w:p>
    <w:p w14:paraId="4A3A3A3E" w14:textId="7D4E3A48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温度稳定性可达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80°C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，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适用于各种应用</w:t>
      </w:r>
    </w:p>
    <w:p w14:paraId="36D928A7" w14:textId="5E36FB70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符合美国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FDA CFR 21</w:t>
      </w: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标准，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保证原材料合</w:t>
      </w:r>
      <w:proofErr w:type="gramStart"/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规</w:t>
      </w:r>
      <w:proofErr w:type="gramEnd"/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</w:t>
      </w:r>
    </w:p>
    <w:p w14:paraId="43F95720" w14:textId="1653DDDC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与注塑成型兼容，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简化制造工艺</w:t>
      </w:r>
    </w:p>
    <w:p w14:paraId="1BFD7C6F" w14:textId="7EB7B239" w:rsidR="00D407B4" w:rsidRPr="002013D3" w:rsidRDefault="00D407B4" w:rsidP="002013D3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可染色，</w:t>
      </w:r>
      <w:r w:rsidRPr="002013D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所有颜色均可预先着色</w:t>
      </w:r>
    </w:p>
    <w:p w14:paraId="122E0840" w14:textId="77777777" w:rsidR="00527901" w:rsidRPr="002013D3" w:rsidRDefault="00527901" w:rsidP="00527901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5211D603" w14:textId="32005743" w:rsidR="00D407B4" w:rsidRPr="002013D3" w:rsidRDefault="00527901" w:rsidP="00D407B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13D3">
        <w:rPr>
          <w:rFonts w:ascii="Arial" w:eastAsia="SimHei" w:hAnsi="Arial" w:cs="Arial" w:hint="eastAsia"/>
          <w:bCs/>
          <w:sz w:val="20"/>
          <w:szCs w:val="20"/>
          <w:lang w:eastAsia="zh-CN"/>
        </w:rPr>
        <w:t>凯柏胶宝</w:t>
      </w:r>
      <w:r w:rsidRPr="002013D3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="00D407B4" w:rsidRPr="002013D3">
        <w:rPr>
          <w:rFonts w:ascii="Arial" w:eastAsia="SimHei" w:hAnsi="Arial" w:cs="Arial"/>
          <w:sz w:val="20"/>
          <w:szCs w:val="20"/>
          <w:lang w:eastAsia="zh-CN"/>
        </w:rPr>
        <w:t>的这些</w:t>
      </w:r>
      <w:hyperlink r:id="rId13" w:history="1"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</w:t>
        </w:r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</w:hyperlink>
      <w:r w:rsidR="00D407B4" w:rsidRPr="002013D3">
        <w:rPr>
          <w:rFonts w:ascii="Arial" w:eastAsia="SimHei" w:hAnsi="Arial" w:cs="Arial"/>
          <w:sz w:val="20"/>
          <w:szCs w:val="20"/>
          <w:lang w:eastAsia="zh-CN"/>
        </w:rPr>
        <w:t>材料在各个领域都有理想的应用，包括功能和设计元素、握把应用、消费品的手柄和握把、</w:t>
      </w:r>
      <w:hyperlink r:id="rId14" w:history="1">
        <w:r w:rsidR="00D407B4" w:rsidRPr="002013D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牙刷</w:t>
        </w:r>
      </w:hyperlink>
      <w:r w:rsidR="00D407B4" w:rsidRPr="002013D3">
        <w:rPr>
          <w:rFonts w:ascii="Arial" w:eastAsia="SimHei" w:hAnsi="Arial" w:cs="Arial"/>
          <w:sz w:val="20"/>
          <w:szCs w:val="20"/>
          <w:lang w:eastAsia="zh-CN"/>
        </w:rPr>
        <w:t>、剃须刀、玩具、家居用品、以及壳体和容器的密封件</w:t>
      </w:r>
      <w:r w:rsidRPr="002013D3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71D35315" w14:textId="5073EAAE" w:rsidR="00D407B4" w:rsidRPr="002013D3" w:rsidRDefault="00D407B4" w:rsidP="00D407B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sz w:val="20"/>
          <w:szCs w:val="20"/>
          <w:lang w:eastAsia="zh-CN"/>
        </w:rPr>
        <w:lastRenderedPageBreak/>
        <w:t>随着</w:t>
      </w:r>
      <w:r w:rsidR="002013D3" w:rsidRPr="002013D3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热塑宝</w:t>
      </w:r>
      <w:r w:rsidR="002013D3" w:rsidRPr="002013D3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R</w:t>
      </w:r>
      <w:r w:rsidR="00DB5B6F" w:rsidRPr="002013D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（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="00DB5B6F" w:rsidRPr="002013D3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系列的推出，制造商现在可以制造</w:t>
      </w:r>
      <w:proofErr w:type="gramStart"/>
      <w:r w:rsidRPr="002013D3">
        <w:rPr>
          <w:rFonts w:ascii="Arial" w:eastAsia="SimHei" w:hAnsi="Arial" w:cs="Arial"/>
          <w:sz w:val="20"/>
          <w:szCs w:val="20"/>
          <w:lang w:eastAsia="zh-CN"/>
        </w:rPr>
        <w:t>出不仅</w:t>
      </w:r>
      <w:proofErr w:type="gramEnd"/>
      <w:r w:rsidRPr="002013D3">
        <w:rPr>
          <w:rFonts w:ascii="Arial" w:eastAsia="SimHei" w:hAnsi="Arial" w:cs="Arial"/>
          <w:sz w:val="20"/>
          <w:szCs w:val="20"/>
          <w:lang w:eastAsia="zh-CN"/>
        </w:rPr>
        <w:t>满足现代消费者需求且有助于更可持续未来的</w:t>
      </w:r>
      <w:r w:rsidR="000E149A" w:rsidRPr="002013D3">
        <w:rPr>
          <w:rFonts w:ascii="Arial" w:eastAsia="SimHei" w:hAnsi="Arial" w:cs="Arial"/>
          <w:sz w:val="20"/>
          <w:szCs w:val="20"/>
          <w:lang w:eastAsia="zh-CN"/>
        </w:rPr>
        <w:t>折叠桶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5836F74F" w14:textId="522060FB" w:rsidR="00D407B4" w:rsidRPr="002013D3" w:rsidRDefault="00667EC1" w:rsidP="00D407B4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 w:bidi="ar-SA"/>
        </w:rPr>
      </w:pPr>
      <w:r w:rsidRPr="007B30C4">
        <w:rPr>
          <w:rFonts w:ascii="Arial" w:eastAsia="SimHei" w:hAnsi="Arial" w:cs="Arial"/>
          <w:noProof/>
        </w:rPr>
        <w:drawing>
          <wp:inline distT="0" distB="0" distL="0" distR="0" wp14:anchorId="06745399" wp14:editId="69C9EE63">
            <wp:extent cx="4229100" cy="2341353"/>
            <wp:effectExtent l="0" t="0" r="0" b="1905"/>
            <wp:docPr id="1118475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059" cy="23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07B4" w:rsidRPr="007B30C4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D407B4" w:rsidRPr="007B30C4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© 2024 </w:t>
      </w:r>
      <w:r w:rsidR="00D407B4"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r w:rsidR="00D407B4" w:rsidRPr="002013D3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D407B4"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3CF8E799" w:rsidR="00605ED9" w:rsidRPr="002013D3" w:rsidRDefault="00D407B4" w:rsidP="00D407B4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如需高清图片，请联系</w:t>
      </w: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Bridget Ngang</w:t>
      </w: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</w:t>
      </w: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bridget.ngang@kraiburg-tpe.com</w:t>
      </w: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，</w:t>
      </w: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+6 03 9545 6301</w:t>
      </w:r>
      <w:r w:rsidRPr="002013D3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）。</w:t>
      </w:r>
    </w:p>
    <w:p w14:paraId="354AFA3B" w14:textId="666F9B03" w:rsidR="009D2688" w:rsidRPr="002013D3" w:rsidRDefault="00D407B4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013D3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2013D3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31310457" w:rsidR="009D2688" w:rsidRPr="002013D3" w:rsidRDefault="002013D3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D407B4" w:rsidRPr="002013D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D407B4" w:rsidRPr="002013D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2013D3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013D3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C7A332" w14:textId="270A9629" w:rsidR="00D407B4" w:rsidRPr="007B30C4" w:rsidRDefault="002013D3" w:rsidP="00D407B4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hyperlink r:id="rId21" w:history="1">
        <w:r w:rsidR="00D407B4" w:rsidRPr="002013D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r w:rsidR="00D407B4" w:rsidRPr="002013D3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D407B4" w:rsidRPr="002013D3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7B30C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6A493C84" w14:textId="77777777" w:rsidR="00D407B4" w:rsidRPr="007B30C4" w:rsidRDefault="00D407B4" w:rsidP="00D407B4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7B30C4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7B30C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7B30C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B30C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C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7B30C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C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7B30C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C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7B30C4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B30C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0C4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7B30C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78EDA" w14:textId="77777777" w:rsidR="00D407B4" w:rsidRPr="007B30C4" w:rsidRDefault="00D407B4" w:rsidP="00D407B4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7B30C4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7B30C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7B30C4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9C386" w14:textId="6AF3ABB2" w:rsidR="00D407B4" w:rsidRPr="007B30C4" w:rsidRDefault="00D407B4" w:rsidP="00D407B4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13D3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2013D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2013D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 w:rsidR="00EC6505" w:rsidRPr="002013D3">
        <w:rPr>
          <w:rFonts w:ascii="Arial" w:eastAsia="SimHei" w:hAnsi="Arial" w:cs="Arial" w:hint="eastAsia"/>
          <w:sz w:val="20"/>
          <w:szCs w:val="20"/>
          <w:lang w:eastAsia="zh-CN"/>
        </w:rPr>
        <w:t>及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可持续的产品。公司拥有超过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2013D3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2013D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2013D3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2013D3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2013D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2013D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2013D3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7B30C4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eastAsia="zh-CN"/>
        </w:rPr>
      </w:pPr>
    </w:p>
    <w:sectPr w:rsidR="001655F4" w:rsidRPr="007B30C4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9453BC9" w:rsidR="008D6B76" w:rsidRPr="00073D11" w:rsidRDefault="00D407B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138561" wp14:editId="17F0C1A4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DB3C5A" w14:textId="77777777" w:rsidR="00D407B4" w:rsidRPr="002316B5" w:rsidRDefault="00D407B4" w:rsidP="00D407B4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1A731C0" w14:textId="77777777" w:rsidR="00D407B4" w:rsidRPr="00073D11" w:rsidRDefault="00D407B4" w:rsidP="00D407B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62C3958" w14:textId="77777777" w:rsidR="00D407B4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9A086FC" w14:textId="77777777" w:rsidR="00D407B4" w:rsidRDefault="00D407B4" w:rsidP="00D407B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E6768B7" w14:textId="77777777" w:rsidR="00D407B4" w:rsidRPr="002316B5" w:rsidRDefault="00D407B4" w:rsidP="00D407B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0291609" w14:textId="77777777" w:rsidR="00D407B4" w:rsidRPr="002316B5" w:rsidRDefault="00D407B4" w:rsidP="00D407B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33F4423" w14:textId="77777777" w:rsidR="00D407B4" w:rsidRPr="002316B5" w:rsidRDefault="00D407B4" w:rsidP="00D407B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D25F012" w14:textId="77777777" w:rsidR="00D407B4" w:rsidRPr="002316B5" w:rsidRDefault="002013D3" w:rsidP="00D407B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D407B4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377B809" w14:textId="77777777" w:rsidR="00D407B4" w:rsidRPr="002316B5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2DBEE69" w14:textId="77777777" w:rsidR="00D407B4" w:rsidRPr="002316B5" w:rsidRDefault="00D407B4" w:rsidP="00D407B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A56145F" w14:textId="77777777" w:rsidR="00D407B4" w:rsidRPr="00607EE4" w:rsidRDefault="00D407B4" w:rsidP="00D407B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35885CF" w14:textId="77777777" w:rsidR="00D407B4" w:rsidRPr="002316B5" w:rsidRDefault="00D407B4" w:rsidP="00D407B4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6123570" w14:textId="77777777" w:rsidR="00D407B4" w:rsidRPr="002316B5" w:rsidRDefault="00D407B4" w:rsidP="00D407B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398B7FF" w14:textId="77777777" w:rsidR="00D407B4" w:rsidRPr="002316B5" w:rsidRDefault="002013D3" w:rsidP="00D407B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D407B4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4D76EDB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7C48A65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9FE1F6E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5089786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A9E459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1A9D6B1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9E0C28" w14:textId="77777777" w:rsidR="00D407B4" w:rsidRPr="001E1888" w:rsidRDefault="00D407B4" w:rsidP="00D407B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3856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7CDB3C5A" w14:textId="77777777" w:rsidR="00D407B4" w:rsidRPr="002316B5" w:rsidRDefault="00D407B4" w:rsidP="00D407B4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1A731C0" w14:textId="77777777" w:rsidR="00D407B4" w:rsidRPr="00073D11" w:rsidRDefault="00D407B4" w:rsidP="00D407B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62C3958" w14:textId="77777777" w:rsidR="00D407B4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9A086FC" w14:textId="77777777" w:rsidR="00D407B4" w:rsidRDefault="00D407B4" w:rsidP="00D407B4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E6768B7" w14:textId="77777777" w:rsidR="00D407B4" w:rsidRPr="002316B5" w:rsidRDefault="00D407B4" w:rsidP="00D407B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0291609" w14:textId="77777777" w:rsidR="00D407B4" w:rsidRPr="002316B5" w:rsidRDefault="00D407B4" w:rsidP="00D407B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33F4423" w14:textId="77777777" w:rsidR="00D407B4" w:rsidRPr="002316B5" w:rsidRDefault="00D407B4" w:rsidP="00D407B4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D25F012" w14:textId="77777777" w:rsidR="00D407B4" w:rsidRPr="002316B5" w:rsidRDefault="005E5085" w:rsidP="00D407B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D407B4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377B809" w14:textId="77777777" w:rsidR="00D407B4" w:rsidRPr="002316B5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2DBEE69" w14:textId="77777777" w:rsidR="00D407B4" w:rsidRPr="002316B5" w:rsidRDefault="00D407B4" w:rsidP="00D407B4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A56145F" w14:textId="77777777" w:rsidR="00D407B4" w:rsidRPr="00607EE4" w:rsidRDefault="00D407B4" w:rsidP="00D407B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35885CF" w14:textId="77777777" w:rsidR="00D407B4" w:rsidRPr="002316B5" w:rsidRDefault="00D407B4" w:rsidP="00D407B4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6123570" w14:textId="77777777" w:rsidR="00D407B4" w:rsidRPr="002316B5" w:rsidRDefault="00D407B4" w:rsidP="00D407B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398B7FF" w14:textId="77777777" w:rsidR="00D407B4" w:rsidRPr="002316B5" w:rsidRDefault="005E5085" w:rsidP="00D407B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D407B4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4D76EDB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7C48A65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9FE1F6E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5089786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5A9E459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1A9D6B1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B9E0C28" w14:textId="77777777" w:rsidR="00D407B4" w:rsidRPr="001E1888" w:rsidRDefault="00D407B4" w:rsidP="00D407B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97C5CCF" w14:textId="77777777" w:rsidR="00D407B4" w:rsidRPr="00D407B4" w:rsidRDefault="00D407B4" w:rsidP="00D407B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407B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189942C" w14:textId="77777777" w:rsidR="002013D3" w:rsidRPr="00D407B4" w:rsidRDefault="002013D3" w:rsidP="002013D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proofErr w:type="gramStart"/>
          <w:r w:rsidRPr="002013D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proofErr w:type="gramEnd"/>
          <w:r w:rsidRPr="002013D3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为折叠</w:t>
          </w:r>
          <w:proofErr w:type="gramStart"/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桶提供</w:t>
          </w:r>
          <w:proofErr w:type="gramEnd"/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的先进可持续</w:t>
          </w:r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</w:t>
          </w:r>
        </w:p>
        <w:p w14:paraId="06061A41" w14:textId="77777777" w:rsidR="002013D3" w:rsidRPr="007B30C4" w:rsidRDefault="002013D3" w:rsidP="002013D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7</w:t>
          </w: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E9D8C93" w:rsidR="00502615" w:rsidRPr="00073D11" w:rsidRDefault="00D407B4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B30C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B30C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7B30C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580130A" w:rsidR="00947A2A" w:rsidRPr="00D407B4" w:rsidRDefault="00D407B4" w:rsidP="00947A2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407B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069F8A7" w14:textId="534EB135" w:rsidR="00D407B4" w:rsidRPr="00D407B4" w:rsidRDefault="00D407B4" w:rsidP="00D407B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proofErr w:type="gramStart"/>
          <w:r w:rsidRPr="002013D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proofErr w:type="gramEnd"/>
          <w:r w:rsidRPr="002013D3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为折叠</w:t>
          </w:r>
          <w:proofErr w:type="gramStart"/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桶提供</w:t>
          </w:r>
          <w:proofErr w:type="gramEnd"/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的先进可持续</w:t>
          </w:r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D407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</w:t>
          </w:r>
        </w:p>
        <w:p w14:paraId="765F9503" w14:textId="1A459AB3" w:rsidR="003C4170" w:rsidRPr="007B30C4" w:rsidRDefault="00D407B4" w:rsidP="00D407B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023A0F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024</w:t>
          </w: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2013D3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7</w:t>
          </w: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35C021D" w:rsidR="003C4170" w:rsidRPr="00073D11" w:rsidRDefault="00D407B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B30C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B30C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B30C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B30C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7B30C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B30C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F74FDB5" w:rsidR="003C4170" w:rsidRPr="00502615" w:rsidRDefault="00D407B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3283F"/>
    <w:multiLevelType w:val="hybridMultilevel"/>
    <w:tmpl w:val="0D3AA680"/>
    <w:lvl w:ilvl="0" w:tplc="08FE685C">
      <w:numFmt w:val="bullet"/>
      <w:lvlText w:val="•"/>
      <w:lvlJc w:val="left"/>
      <w:pPr>
        <w:ind w:left="720" w:hanging="360"/>
      </w:pPr>
      <w:rPr>
        <w:rFonts w:ascii="Arial" w:eastAsia="SimHe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1C533F"/>
    <w:multiLevelType w:val="hybridMultilevel"/>
    <w:tmpl w:val="BA247E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6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8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0"/>
  </w:num>
  <w:num w:numId="23" w16cid:durableId="1600605678">
    <w:abstractNumId w:val="22"/>
  </w:num>
  <w:num w:numId="24" w16cid:durableId="1815104121">
    <w:abstractNumId w:val="10"/>
  </w:num>
  <w:num w:numId="25" w16cid:durableId="20369301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149A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3D3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320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901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5085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0C4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0307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6E1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7B4"/>
    <w:rsid w:val="00D41761"/>
    <w:rsid w:val="00D42EE1"/>
    <w:rsid w:val="00D43C51"/>
    <w:rsid w:val="00D505D4"/>
    <w:rsid w:val="00D50D0C"/>
    <w:rsid w:val="00D53B9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5B6F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2EC1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505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410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0407027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409144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3128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9222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4102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2877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8356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F%AF%E6%8C%81%E7%BB%AD%E6%80%A7%E5%8F%91%E5%B1%95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guanghuachugan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-TPE-%E8%A7%A3%E5%86%B3%E6%96%B9%E6%A1%88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7%AF%E6%9F%8F%E8%83%B6%E5%AE%9D-%E7%9A%84%E5%8F%AF%E6%8C%81%E7%BB%AD-TPE-%E8%BF%9B%E5%85%A5%E5%8F%A3%E8%85%94%E6%8A%A4%E7%90%86%E5%B8%82%E5%9C%BA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2024-05-09T02:04:00Z</dcterms:created>
  <dcterms:modified xsi:type="dcterms:W3CDTF">2024-07-10T06:00:00Z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