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80FF5" w14:textId="0F8C8625" w:rsidR="001D0461" w:rsidRDefault="001D0461" w:rsidP="0086502E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b/>
          <w:bCs/>
          <w:i w:val="0"/>
          <w:iCs w:val="0"/>
          <w:color w:val="auto"/>
          <w:sz w:val="24"/>
          <w:szCs w:val="24"/>
          <w:lang w:eastAsia="zh-CN"/>
        </w:rPr>
      </w:pPr>
      <w:r w:rsidRPr="001D0461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凯柏胶宝</w:t>
      </w:r>
      <w:r w:rsidRPr="001D0461">
        <w:rPr>
          <w:rStyle w:val="SubtleEmphasis"/>
          <w:rFonts w:ascii="Calibri" w:eastAsia="SimHei" w:hAnsi="Calibri" w:cs="Calibri"/>
          <w:b/>
          <w:bCs/>
          <w:i w:val="0"/>
          <w:iCs w:val="0"/>
          <w:color w:val="auto"/>
          <w:sz w:val="24"/>
          <w:szCs w:val="24"/>
          <w:lang w:eastAsia="zh-CN"/>
        </w:rPr>
        <w:t>®</w:t>
      </w:r>
      <w:r w:rsidRPr="001D0461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 xml:space="preserve"> </w:t>
      </w:r>
      <w:r w:rsidR="005A7FE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全面</w:t>
      </w:r>
      <w:r w:rsidR="005A7FEB" w:rsidRPr="005A7FE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提升</w:t>
      </w:r>
      <w:proofErr w:type="gramStart"/>
      <w:r w:rsidR="005A7FEB" w:rsidRPr="005A7FE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汽车</w:t>
      </w:r>
      <w:r w:rsidR="005A7FE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拔轮</w:t>
      </w:r>
      <w:r w:rsidR="005A7FEB" w:rsidRPr="005A7FE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的</w:t>
      </w:r>
      <w:proofErr w:type="gramEnd"/>
      <w:r w:rsidR="005A7FEB" w:rsidRPr="005A7FE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性能</w:t>
      </w:r>
    </w:p>
    <w:p w14:paraId="236B52FD" w14:textId="72A1D14D" w:rsidR="005A7FEB" w:rsidRDefault="005A7FEB" w:rsidP="005A7FEB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</w:pP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凯柏胶宝</w:t>
      </w:r>
      <w:r w:rsidRPr="005A7FEB"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>®</w:t>
      </w:r>
      <w:r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 xml:space="preserve"> 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是热塑性弹性体</w:t>
      </w:r>
      <w:r w:rsidRPr="005A7FE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（</w:t>
      </w:r>
      <w:r w:rsidRPr="005A7FE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TPE</w:t>
      </w:r>
      <w:r w:rsidRPr="005A7FE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）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材料领域的全球领先者，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积极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在汽车内饰设计应用方面取得重大突破。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该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材料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可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改变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highlight w:val="yellow"/>
          <w:lang w:eastAsia="zh-CN"/>
        </w:rPr>
        <w:t>汽车内饰</w:t>
      </w:r>
      <w:r w:rsidR="00560685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 xml:space="preserve"> </w:t>
      </w:r>
      <w:hyperlink r:id="rId11" w:history="1">
        <w:r w:rsidR="00560685" w:rsidRPr="00BE5AC8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https://www.kraiburg-tpe.com/zh-hans/%E6%B1%BD%E8%BD%A6%E5%86%85%E9%A5%B0TPE</w:t>
        </w:r>
      </w:hyperlink>
      <w:r w:rsidR="00560685"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  <w:t xml:space="preserve"> 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的设计和制造方式，完美结合功能性和美观性。</w:t>
      </w:r>
    </w:p>
    <w:p w14:paraId="39A286BD" w14:textId="77777777" w:rsidR="005A7FEB" w:rsidRPr="005A7FEB" w:rsidRDefault="005A7FEB" w:rsidP="005A7FEB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6"/>
          <w:szCs w:val="6"/>
          <w:lang w:eastAsia="zh-CN"/>
        </w:rPr>
      </w:pPr>
    </w:p>
    <w:p w14:paraId="7283DB4A" w14:textId="2DBD8B2E" w:rsidR="005A7FEB" w:rsidRDefault="005A7FEB" w:rsidP="005A7FEB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</w:pP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热塑性弹性体</w:t>
      </w:r>
      <w:r w:rsidRPr="005A7FE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（</w:t>
      </w:r>
      <w:r w:rsidRPr="005A7FE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TPE</w:t>
      </w:r>
      <w:r w:rsidRPr="005A7FE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）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卓越的性能和多功能性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使其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在汽车设计师中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备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受欢迎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，尤其是在汽车</w:t>
      </w:r>
      <w:proofErr w:type="gramStart"/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拔轮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控制</w:t>
      </w:r>
      <w:proofErr w:type="gramEnd"/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这一板块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，它是车辆控制面板的重要组成部分。凯柏胶宝</w:t>
      </w:r>
      <w:r w:rsidRPr="005A7FEB"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>®</w:t>
      </w:r>
      <w:r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 xml:space="preserve"> </w:t>
      </w:r>
      <w:r w:rsidRPr="005A7FE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AD1/AP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系列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柔软的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触感表面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，提供了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舒适的用户体验，使其成为汽车</w:t>
      </w:r>
      <w:proofErr w:type="gramStart"/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拔轮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应用</w:t>
      </w:r>
      <w:proofErr w:type="gramEnd"/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的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highlight w:val="yellow"/>
          <w:lang w:eastAsia="zh-CN"/>
        </w:rPr>
        <w:t>首选材料解决方案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。</w:t>
      </w:r>
      <w:hyperlink r:id="rId12" w:history="1">
        <w:r w:rsidR="00560685" w:rsidRPr="00BE5AC8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https://www.kraiburg-tpe.com/zh-hans/%E5%87%AF%E6%9F%8F%E8%83%B6%E5%AE%9D%C2%AE-%E5%85%A8%E6%96%B0%E5%8D%87%E7%BA%A7%E8%BD%A6%E7%94%A8%E6%9D%AF%E6%9E%B6-%E9%98%B2%E6%BB%91%E7%A8%B3%E5%9B%BA%E7%9A%84%E4%BD%BF%E7%94%A8%E4%BD%93%E9%AA%8C</w:t>
        </w:r>
      </w:hyperlink>
      <w:r w:rsidR="00560685"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  <w:t xml:space="preserve"> </w:t>
      </w:r>
    </w:p>
    <w:p w14:paraId="2D662CB1" w14:textId="77777777" w:rsidR="005A7FEB" w:rsidRPr="005A7FEB" w:rsidRDefault="005A7FEB" w:rsidP="005A7FEB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6"/>
          <w:szCs w:val="6"/>
          <w:lang w:eastAsia="zh-CN"/>
        </w:rPr>
      </w:pPr>
    </w:p>
    <w:p w14:paraId="21986E89" w14:textId="0778FA91" w:rsidR="005A7FEB" w:rsidRDefault="00254C00" w:rsidP="005A7FEB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</w:pP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该</w:t>
      </w:r>
      <w:r w:rsidR="005A7FEB"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TPE</w:t>
      </w:r>
      <w:r w:rsidR="005A7FEB"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材料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可</w:t>
      </w:r>
      <w:r w:rsidR="005A7FEB"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通过多组分注塑与</w:t>
      </w:r>
      <w:r w:rsidR="005A7FEB"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ABS</w:t>
      </w:r>
      <w:r w:rsidR="005A7FEB"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、</w:t>
      </w:r>
      <w:r w:rsidR="005A7FEB"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PC</w:t>
      </w:r>
      <w:r w:rsidR="005A7FEB"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和</w:t>
      </w:r>
      <w:r w:rsidR="005A7FEB"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PC/ABS</w:t>
      </w:r>
      <w:r w:rsidR="005A7FEB"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等极性热塑性材料表现出优异的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包胶</w:t>
      </w:r>
      <w:r w:rsidR="005A7FEB"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性，实现了产品设计的灵活性，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也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增强</w:t>
      </w:r>
      <w:r w:rsidR="005A7FEB"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了密封性。此外，它们具有</w:t>
      </w:r>
      <w:r w:rsidR="005A7FEB"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highlight w:val="yellow"/>
          <w:lang w:eastAsia="zh-CN"/>
        </w:rPr>
        <w:t>抗</w:t>
      </w:r>
      <w:r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highlight w:val="yellow"/>
          <w:lang w:eastAsia="zh-CN"/>
        </w:rPr>
        <w:t>UV</w:t>
      </w:r>
      <w:r w:rsidR="005A7FEB"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highlight w:val="yellow"/>
          <w:lang w:eastAsia="zh-CN"/>
        </w:rPr>
        <w:t>紫外线</w:t>
      </w:r>
      <w:r w:rsidR="00560685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 xml:space="preserve"> </w:t>
      </w:r>
      <w:hyperlink r:id="rId13" w:history="1">
        <w:r w:rsidR="00560685" w:rsidRPr="00BE5AC8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https://www.kraiburg-tpe.com/zh-hans/%E5%87%AF%E6%9F%8F%E8%83%B6%E5%AE%9D%C2%AE%E4%B8%BA%E5%AF%BC%E8%88%AA%E8%AE%BE%E5%A4%87%E5%A2%9E%E6%B7%BB%E6%96%B0%E5%8A%9F%E8%83%BD%E5%92%8C%E8%AE%BE%E8%AE%A1</w:t>
        </w:r>
      </w:hyperlink>
      <w:r w:rsidR="00560685"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  <w:t xml:space="preserve"> </w:t>
      </w:r>
      <w:r w:rsidR="005A7FEB"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的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性能</w:t>
      </w:r>
      <w:r w:rsidR="005A7FEB"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，随着时间的推移保持了颜色的稳定性和整体功能性。</w:t>
      </w:r>
    </w:p>
    <w:p w14:paraId="6E464633" w14:textId="77777777" w:rsidR="00254C00" w:rsidRPr="00254C00" w:rsidRDefault="00254C00" w:rsidP="005A7FEB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6"/>
          <w:szCs w:val="6"/>
          <w:lang w:eastAsia="zh-CN"/>
        </w:rPr>
      </w:pPr>
    </w:p>
    <w:p w14:paraId="314613FE" w14:textId="225272FF" w:rsidR="00254C00" w:rsidRDefault="00254C00" w:rsidP="005A7FEB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</w:pP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除了这些特点，凯柏胶宝</w:t>
      </w:r>
      <w:r w:rsidRPr="00254C00"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>®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 xml:space="preserve"> 的汽车内饰</w:t>
      </w:r>
      <w:r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TPE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材料也符合严格的行业要求。它们经过配方设计，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可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抵抗</w:t>
      </w:r>
      <w:r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UV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紫外线辐射，同时符合内饰原始设备制造商的排放、雾化和气味控制等要求。此外，该系列还符合</w:t>
      </w:r>
      <w:r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REACH SVHC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和</w:t>
      </w:r>
      <w:r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RoHS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法规，确保符合欧洲标准的受限化学物质或有害物质的要求。</w:t>
      </w:r>
    </w:p>
    <w:p w14:paraId="100ECAA4" w14:textId="77777777" w:rsidR="00254C00" w:rsidRPr="00254C00" w:rsidRDefault="00254C00" w:rsidP="005A7FEB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6"/>
          <w:szCs w:val="6"/>
          <w:lang w:eastAsia="zh-CN"/>
        </w:rPr>
      </w:pPr>
    </w:p>
    <w:p w14:paraId="3BCB7C4E" w14:textId="2FAFF0DF" w:rsidR="00254C00" w:rsidRDefault="00254C00" w:rsidP="005A7FEB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</w:pP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凯柏胶宝</w:t>
      </w:r>
      <w:r w:rsidRPr="00254C00"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>®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 xml:space="preserve"> 在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highlight w:val="yellow"/>
          <w:lang w:eastAsia="zh-CN"/>
        </w:rPr>
        <w:t>可持续性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highlight w:val="yellow"/>
          <w:lang w:eastAsia="zh-CN"/>
        </w:rPr>
        <w:t>发展</w:t>
      </w:r>
      <w:r w:rsidR="00560685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 xml:space="preserve"> </w:t>
      </w:r>
      <w:hyperlink r:id="rId14" w:history="1">
        <w:r w:rsidR="00560685" w:rsidRPr="00BE5AC8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="00560685"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  <w:t xml:space="preserve"> 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的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理念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体现在这些</w:t>
      </w:r>
      <w:r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TPE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材料过程中的回收能力上。制造商可以回收多余或剩余的材料，有助于资源保护和对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拔轮</w:t>
      </w:r>
      <w:r w:rsidRPr="005A7FE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控制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的环保生产。</w:t>
      </w:r>
    </w:p>
    <w:p w14:paraId="209D71A3" w14:textId="77777777" w:rsidR="00254C00" w:rsidRPr="00254C00" w:rsidRDefault="00254C00" w:rsidP="005A7FEB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6"/>
          <w:szCs w:val="6"/>
          <w:lang w:eastAsia="zh-CN"/>
        </w:rPr>
      </w:pPr>
    </w:p>
    <w:p w14:paraId="23D5D54D" w14:textId="1374A212" w:rsidR="00254C00" w:rsidRDefault="00254C00" w:rsidP="005A7FEB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</w:pP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除了</w:t>
      </w:r>
      <w:r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AD1/AP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系列，凯柏胶宝</w:t>
      </w:r>
      <w:r w:rsidRPr="00254C00"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>®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 xml:space="preserve"> 还提供专门开发的</w:t>
      </w:r>
      <w:r w:rsidRPr="00254C00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TPE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复合材料，以满足汽车制造商独特的规格要求。这种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定制</w:t>
      </w:r>
      <w:proofErr w:type="gramStart"/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化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确保</w:t>
      </w:r>
      <w:proofErr w:type="gramEnd"/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每个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汽车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内部组件都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能够</w:t>
      </w:r>
      <w:r w:rsidRPr="00254C00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满足最高的性能和设计标准。</w:t>
      </w:r>
    </w:p>
    <w:p w14:paraId="4644E4C4" w14:textId="77777777" w:rsidR="00A6334F" w:rsidRPr="00A6334F" w:rsidRDefault="00A6334F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16A5E841" w14:textId="77777777" w:rsidR="00384954" w:rsidRPr="00BB183D" w:rsidRDefault="00384954" w:rsidP="00384954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75CBC6CC" w14:textId="01A4E74D" w:rsidR="00384954" w:rsidRPr="00BB183D" w:rsidRDefault="00384954" w:rsidP="00384954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除了</w:t>
      </w:r>
      <w:proofErr w:type="gramStart"/>
      <w:r w:rsidR="005A7FEB" w:rsidRPr="005A7FEB">
        <w:rPr>
          <w:rFonts w:ascii="SimHei" w:eastAsia="SimHei" w:hAnsi="SimHei" w:cs="Arial" w:hint="eastAsia"/>
          <w:sz w:val="20"/>
          <w:szCs w:val="20"/>
          <w:lang w:eastAsia="zh-CN"/>
        </w:rPr>
        <w:t>汽车拔轮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外</w:t>
      </w:r>
      <w:proofErr w:type="gramEnd"/>
      <w:r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2596815D" w14:textId="77777777" w:rsidR="00384954" w:rsidRPr="00BB183D" w:rsidRDefault="00384954" w:rsidP="00384954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053FBEC5" w14:textId="06BFD779" w:rsidR="00384954" w:rsidRDefault="00384954" w:rsidP="00560685">
      <w:pPr>
        <w:spacing w:line="360" w:lineRule="auto"/>
        <w:jc w:val="both"/>
        <w:rPr>
          <w:noProof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303E42E0" w14:textId="08A7DFCE" w:rsidR="00384954" w:rsidRDefault="00560685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2B41A353" wp14:editId="1023778E">
            <wp:extent cx="4241800" cy="2346862"/>
            <wp:effectExtent l="0" t="0" r="6350" b="0"/>
            <wp:docPr id="2078409453" name="Picture 1" descr="A close-up of a car v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409453" name="Picture 1" descr="A close-up of a car ven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251" cy="2349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F7E86" w14:textId="44E9B757" w:rsidR="00384954" w:rsidRPr="0011128E" w:rsidRDefault="00384954" w:rsidP="00384954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21859F2B" w14:textId="77777777" w:rsidR="00384954" w:rsidRPr="0011128E" w:rsidRDefault="00384954" w:rsidP="00384954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11128E">
        <w:rPr>
          <w:rFonts w:ascii="SimHei" w:eastAsia="SimHei" w:hAnsi="SimHei" w:cs="Times New Roman" w:hint="eastAsia"/>
          <w:sz w:val="20"/>
          <w:lang w:eastAsia="zh-CN"/>
        </w:rPr>
        <w:t>如需高清</w:t>
      </w:r>
      <w:proofErr w:type="gramEnd"/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6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1E37E8D9" w14:textId="77777777" w:rsidR="00384954" w:rsidRDefault="00384954" w:rsidP="00384954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61EC9775" w14:textId="77777777" w:rsidR="00384954" w:rsidRPr="0011128E" w:rsidRDefault="00384954" w:rsidP="00384954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7D515722" wp14:editId="3488B2C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7B6069" w14:textId="77777777" w:rsidR="00384954" w:rsidRPr="0011128E" w:rsidRDefault="00560685" w:rsidP="00384954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9" w:history="1">
        <w:r w:rsidR="00384954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</w:t>
        </w:r>
        <w:proofErr w:type="gramStart"/>
        <w:r w:rsidR="00384954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342E6E1E" w14:textId="77777777" w:rsidR="00384954" w:rsidRPr="0011128E" w:rsidRDefault="00384954" w:rsidP="00384954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7B40619F" wp14:editId="6FEE1A5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4343CC" w14:textId="77777777" w:rsidR="00384954" w:rsidRPr="0011128E" w:rsidRDefault="00560685" w:rsidP="00384954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2" w:history="1">
        <w:r w:rsidR="00384954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384954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384954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538CCD36" w14:textId="77777777" w:rsidR="00384954" w:rsidRPr="0011128E" w:rsidRDefault="00384954" w:rsidP="00384954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5BA9843B" w14:textId="77777777" w:rsidR="00384954" w:rsidRPr="0011128E" w:rsidRDefault="00384954" w:rsidP="00384954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1142AFB1" w14:textId="77777777" w:rsidR="00384954" w:rsidRPr="0011128E" w:rsidRDefault="00384954" w:rsidP="00384954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C74F53D" wp14:editId="4DF0EE3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EEF91A4" wp14:editId="37B31C5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D54092E" wp14:editId="4BF10B0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9417D09" wp14:editId="6066AC8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DF533AB" wp14:editId="22CC20A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ACE20" w14:textId="77777777" w:rsidR="00384954" w:rsidRPr="0011128E" w:rsidRDefault="00384954" w:rsidP="00384954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</w:t>
      </w:r>
      <w:proofErr w:type="gramStart"/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微信公众号</w:t>
      </w:r>
      <w:proofErr w:type="gramEnd"/>
    </w:p>
    <w:p w14:paraId="24A27DA4" w14:textId="77777777" w:rsidR="00384954" w:rsidRPr="0011128E" w:rsidRDefault="00384954" w:rsidP="00384954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0C0D9856" wp14:editId="0099E3C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6C1BAB26" w:rsidR="001655F4" w:rsidRPr="00384954" w:rsidRDefault="00384954" w:rsidP="00384954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尼塑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sectPr w:rsidR="001655F4" w:rsidRPr="00384954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1735D" w14:textId="77777777" w:rsidR="0093578E" w:rsidRDefault="0093578E" w:rsidP="00784C57">
      <w:pPr>
        <w:spacing w:after="0" w:line="240" w:lineRule="auto"/>
      </w:pPr>
      <w:r>
        <w:separator/>
      </w:r>
    </w:p>
  </w:endnote>
  <w:endnote w:type="continuationSeparator" w:id="0">
    <w:p w14:paraId="0488C7B8" w14:textId="77777777" w:rsidR="0093578E" w:rsidRDefault="0093578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E195AB2">
              <wp:simplePos x="0" y="0"/>
              <wp:positionH relativeFrom="column">
                <wp:posOffset>4350606</wp:posOffset>
              </wp:positionH>
              <wp:positionV relativeFrom="paragraph">
                <wp:posOffset>-2973069</wp:posOffset>
              </wp:positionV>
              <wp:extent cx="1885950" cy="2432188"/>
              <wp:effectExtent l="0" t="0" r="0" b="635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21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35B9F0" w14:textId="77777777" w:rsidR="00384954" w:rsidRPr="002316B5" w:rsidRDefault="00384954" w:rsidP="00384954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292B29D8" w14:textId="77777777" w:rsidR="00384954" w:rsidRPr="00073D11" w:rsidRDefault="00384954" w:rsidP="00384954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7F10E78" w14:textId="77777777" w:rsidR="00384954" w:rsidRDefault="00384954" w:rsidP="0038495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5C50AFA" w14:textId="77777777" w:rsidR="00384954" w:rsidRDefault="00384954" w:rsidP="0038495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342FC8D" w14:textId="77777777" w:rsidR="00384954" w:rsidRPr="002316B5" w:rsidRDefault="00384954" w:rsidP="0038495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5BDF7E12" w14:textId="77777777" w:rsidR="00384954" w:rsidRPr="002316B5" w:rsidRDefault="00384954" w:rsidP="0038495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7F45201" w14:textId="77777777" w:rsidR="00384954" w:rsidRPr="002316B5" w:rsidRDefault="00384954" w:rsidP="0038495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2FAC58E" w14:textId="77777777" w:rsidR="00384954" w:rsidRPr="002316B5" w:rsidRDefault="00560685" w:rsidP="0038495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384954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979C695" w14:textId="77777777" w:rsidR="00384954" w:rsidRPr="002316B5" w:rsidRDefault="00384954" w:rsidP="0038495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FC40E7B" w14:textId="77777777" w:rsidR="00384954" w:rsidRPr="002316B5" w:rsidRDefault="00384954" w:rsidP="0038495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7F6C620A" w14:textId="77777777" w:rsidR="00384954" w:rsidRPr="00607EE4" w:rsidRDefault="00384954" w:rsidP="0038495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BFA2645" w14:textId="77777777" w:rsidR="00384954" w:rsidRPr="002316B5" w:rsidRDefault="00384954" w:rsidP="00384954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469B2305" w14:textId="77777777" w:rsidR="00384954" w:rsidRPr="002316B5" w:rsidRDefault="00384954" w:rsidP="0038495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489B5DB1" w14:textId="77777777" w:rsidR="00384954" w:rsidRPr="002316B5" w:rsidRDefault="00560685" w:rsidP="0038495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384954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B663834" w14:textId="77777777" w:rsidR="00384954" w:rsidRPr="001E1888" w:rsidRDefault="00384954" w:rsidP="0038495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B86E1C1" w14:textId="77777777" w:rsidR="00384954" w:rsidRPr="001E1888" w:rsidRDefault="00384954" w:rsidP="0038495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08F922A" w14:textId="77777777" w:rsidR="00384954" w:rsidRPr="001E1888" w:rsidRDefault="00384954" w:rsidP="0038495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EE72236" w14:textId="77777777" w:rsidR="00384954" w:rsidRPr="001E1888" w:rsidRDefault="00384954" w:rsidP="0038495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41839FF" w14:textId="77777777" w:rsidR="00384954" w:rsidRPr="001E1888" w:rsidRDefault="00384954" w:rsidP="0038495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34.1pt;width:148.5pt;height:1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" stroked="f">
              <v:textbox inset=",0,,0">
                <w:txbxContent>
                  <w:p w14:paraId="7535B9F0" w14:textId="77777777" w:rsidR="00384954" w:rsidRPr="002316B5" w:rsidRDefault="00384954" w:rsidP="00384954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292B29D8" w14:textId="77777777" w:rsidR="00384954" w:rsidRPr="00073D11" w:rsidRDefault="00384954" w:rsidP="0038495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7F10E78" w14:textId="77777777" w:rsidR="00384954" w:rsidRDefault="00384954" w:rsidP="0038495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5C50AFA" w14:textId="77777777" w:rsidR="00384954" w:rsidRDefault="00384954" w:rsidP="00384954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342FC8D" w14:textId="77777777" w:rsidR="00384954" w:rsidRPr="002316B5" w:rsidRDefault="00384954" w:rsidP="0038495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5BDF7E12" w14:textId="77777777" w:rsidR="00384954" w:rsidRPr="002316B5" w:rsidRDefault="00384954" w:rsidP="0038495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7F45201" w14:textId="77777777" w:rsidR="00384954" w:rsidRPr="002316B5" w:rsidRDefault="00384954" w:rsidP="00384954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2FAC58E" w14:textId="77777777" w:rsidR="00384954" w:rsidRPr="002316B5" w:rsidRDefault="00384954" w:rsidP="0038495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979C695" w14:textId="77777777" w:rsidR="00384954" w:rsidRPr="002316B5" w:rsidRDefault="00384954" w:rsidP="0038495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FC40E7B" w14:textId="77777777" w:rsidR="00384954" w:rsidRPr="002316B5" w:rsidRDefault="00384954" w:rsidP="00384954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7F6C620A" w14:textId="77777777" w:rsidR="00384954" w:rsidRPr="00607EE4" w:rsidRDefault="00384954" w:rsidP="0038495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BFA2645" w14:textId="77777777" w:rsidR="00384954" w:rsidRPr="002316B5" w:rsidRDefault="00384954" w:rsidP="00384954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469B2305" w14:textId="77777777" w:rsidR="00384954" w:rsidRPr="002316B5" w:rsidRDefault="00384954" w:rsidP="0038495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489B5DB1" w14:textId="77777777" w:rsidR="00384954" w:rsidRPr="002316B5" w:rsidRDefault="00384954" w:rsidP="0038495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B663834" w14:textId="77777777" w:rsidR="00384954" w:rsidRPr="001E1888" w:rsidRDefault="00384954" w:rsidP="0038495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B86E1C1" w14:textId="77777777" w:rsidR="00384954" w:rsidRPr="001E1888" w:rsidRDefault="00384954" w:rsidP="0038495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08F922A" w14:textId="77777777" w:rsidR="00384954" w:rsidRPr="001E1888" w:rsidRDefault="00384954" w:rsidP="0038495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EE72236" w14:textId="77777777" w:rsidR="00384954" w:rsidRPr="001E1888" w:rsidRDefault="00384954" w:rsidP="0038495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41839FF" w14:textId="77777777" w:rsidR="00384954" w:rsidRPr="001E1888" w:rsidRDefault="00384954" w:rsidP="0038495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4D2D6" w14:textId="77777777" w:rsidR="0093578E" w:rsidRDefault="0093578E" w:rsidP="00784C57">
      <w:pPr>
        <w:spacing w:after="0" w:line="240" w:lineRule="auto"/>
      </w:pPr>
      <w:r>
        <w:separator/>
      </w:r>
    </w:p>
  </w:footnote>
  <w:footnote w:type="continuationSeparator" w:id="0">
    <w:p w14:paraId="5EF62BA8" w14:textId="77777777" w:rsidR="0093578E" w:rsidRDefault="0093578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A160C58" w14:textId="77777777" w:rsidR="00384954" w:rsidRPr="00816DC4" w:rsidRDefault="00384954" w:rsidP="0038495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E9DBF5A" w14:textId="77777777" w:rsidR="005A7FEB" w:rsidRDefault="005A7FEB" w:rsidP="005A7FEB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DE613A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DE613A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5A7FEB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全面提升</w:t>
          </w:r>
          <w:proofErr w:type="gramStart"/>
          <w:r w:rsidRPr="005A7FEB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汽车拔轮的</w:t>
          </w:r>
          <w:proofErr w:type="gramEnd"/>
          <w:r w:rsidRPr="005A7FEB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性能</w:t>
          </w:r>
        </w:p>
        <w:p w14:paraId="74C2BC14" w14:textId="77777777" w:rsidR="005A7FEB" w:rsidRPr="00C2628B" w:rsidRDefault="005A7FEB" w:rsidP="005A7FE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2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6DB64A0B" w:rsidR="00502615" w:rsidRPr="00073D11" w:rsidRDefault="005A7FEB" w:rsidP="005A7FE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84954" w:rsidRPr="00073D11" w14:paraId="5A28A0D8" w14:textId="77777777" w:rsidTr="00AF662E">
      <w:tc>
        <w:tcPr>
          <w:tcW w:w="6912" w:type="dxa"/>
        </w:tcPr>
        <w:p w14:paraId="5C14C695" w14:textId="77777777" w:rsidR="00384954" w:rsidRPr="00816DC4" w:rsidRDefault="00384954" w:rsidP="0038495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4131FB7" w14:textId="707B491B" w:rsidR="00384954" w:rsidRDefault="00384954" w:rsidP="00384954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DE613A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DE613A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="005A7FEB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="005A7FEB" w:rsidRPr="005A7FEB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全面提升</w:t>
          </w:r>
          <w:proofErr w:type="gramStart"/>
          <w:r w:rsidR="005A7FEB" w:rsidRPr="005A7FEB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汽车拔轮的</w:t>
          </w:r>
          <w:proofErr w:type="gramEnd"/>
          <w:r w:rsidR="005A7FEB" w:rsidRPr="005A7FEB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性能</w:t>
          </w:r>
        </w:p>
        <w:p w14:paraId="0CB4844E" w14:textId="452AECAA" w:rsidR="00384954" w:rsidRPr="00C2628B" w:rsidRDefault="00384954" w:rsidP="0038495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 w:rsidR="005A7FEB">
            <w:rPr>
              <w:rFonts w:ascii="Arial" w:hAnsi="Arial"/>
              <w:b/>
              <w:sz w:val="16"/>
              <w:szCs w:val="16"/>
              <w:lang w:eastAsia="zh-CN"/>
            </w:rPr>
            <w:t>2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04444921" w:rsidR="00384954" w:rsidRPr="00073D11" w:rsidRDefault="00384954" w:rsidP="0038495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4A98FC9E" w14:textId="77777777" w:rsidR="00384954" w:rsidRPr="003A29FC" w:rsidRDefault="00384954" w:rsidP="00384954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6A200AEB" w14:textId="77777777" w:rsidR="00384954" w:rsidRPr="003A29FC" w:rsidRDefault="00384954" w:rsidP="00384954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6A4FCB2F" w14:textId="77777777" w:rsidR="00384954" w:rsidRDefault="00384954" w:rsidP="00384954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1232C6E8" w14:textId="77777777" w:rsidR="00384954" w:rsidRDefault="00384954" w:rsidP="00384954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41057D49" w14:textId="77777777" w:rsidR="00384954" w:rsidRDefault="00384954" w:rsidP="00384954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0AA42C8B" w14:textId="77777777" w:rsidR="00384954" w:rsidRPr="002D69AE" w:rsidRDefault="00384954" w:rsidP="00384954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574D8DDC" w14:textId="77777777" w:rsidR="00384954" w:rsidRPr="00502615" w:rsidRDefault="00384954" w:rsidP="00384954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5548280F" w14:textId="77777777" w:rsidR="00384954" w:rsidRPr="00502615" w:rsidRDefault="00384954" w:rsidP="00384954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C6739">
            <w:rPr>
              <w:rFonts w:ascii="Arial" w:hAnsi="Arial" w:hint="eastAsia"/>
              <w:sz w:val="16"/>
            </w:rPr>
            <w:t>电话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4C3599F2" w14:textId="77777777" w:rsidR="00384954" w:rsidRPr="00502615" w:rsidRDefault="00384954" w:rsidP="00384954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F5FB23B" w14:textId="77777777" w:rsidR="00384954" w:rsidRPr="00502615" w:rsidRDefault="00384954" w:rsidP="00384954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554548B0" w:rsidR="00384954" w:rsidRPr="00073D11" w:rsidRDefault="00384954" w:rsidP="00384954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36044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4603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61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54C0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4954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51BD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60685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A7FEB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A06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78E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420E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2218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334F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72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3C26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2E2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21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7%AF%E6%9F%8F%E8%83%B6%E5%AE%9D%C2%AE%E4%B8%BA%E5%AF%BC%E8%88%AA%E8%AE%BE%E5%A4%87%E5%A2%9E%E6%B7%BB%E6%96%B0%E5%8A%9F%E8%83%BD%E5%92%8C%E8%AE%BE%E8%AE%A1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7%AF%E6%9F%8F%E8%83%B6%E5%AE%9D%C2%AE-%E5%85%A8%E6%96%B0%E5%8D%87%E7%BA%A7%E8%BD%A6%E7%94%A8%E6%9D%AF%E6%9E%B6-%E9%98%B2%E6%BB%91%E7%A8%B3%E5%9B%BA%E7%9A%84%E4%BD%BF%E7%94%A8%E4%BD%93%E9%AA%8C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6%B1%BD%E8%BD%A6%E5%86%85%E9%A5%B0TPE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8F%AF%E6%8C%81%E7%BB%AD%E5%8F%91%E5%B1%95%E7%8E%AF%E4%BF%9DTP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378</Words>
  <Characters>2520</Characters>
  <Application>Microsoft Office Word</Application>
  <DocSecurity>0</DocSecurity>
  <Lines>54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2023-10-12T00:28:00Z</dcterms:created>
  <dcterms:modified xsi:type="dcterms:W3CDTF">2023-11-23T07:46:00Z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