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FDCA2" w14:textId="7954DDAD" w:rsidR="00E40E23" w:rsidRPr="007B6406" w:rsidRDefault="00E40E23" w:rsidP="005F2585">
      <w:pPr>
        <w:pStyle w:val="Heading2"/>
        <w:rPr>
          <w:rFonts w:ascii="NanumGothic" w:eastAsia="NanumGothic" w:hAnsi="NanumGothic" w:cs="Malgun Gothic Semilight"/>
          <w:color w:val="auto"/>
          <w:sz w:val="24"/>
          <w:szCs w:val="24"/>
          <w:lang w:eastAsia="ko-KR"/>
        </w:rPr>
      </w:pPr>
      <w:r w:rsidRPr="007B6406">
        <w:rPr>
          <w:rFonts w:ascii="NanumGothic" w:eastAsia="NanumGothic" w:hAnsi="NanumGothic" w:cs="Malgun Gothic Semilight"/>
          <w:color w:val="auto"/>
          <w:sz w:val="24"/>
          <w:szCs w:val="24"/>
          <w:lang w:eastAsia="ko-KR"/>
        </w:rPr>
        <w:t>TPEs</w:t>
      </w:r>
      <w:r w:rsidR="005F2585" w:rsidRPr="007B6406">
        <w:rPr>
          <w:rFonts w:ascii="NanumGothic" w:eastAsia="NanumGothic" w:hAnsi="NanumGothic" w:cs="Malgun Gothic Semilight" w:hint="eastAsia"/>
          <w:color w:val="auto"/>
          <w:sz w:val="24"/>
          <w:szCs w:val="24"/>
          <w:lang w:eastAsia="ko-KR"/>
        </w:rPr>
        <w:t>로 편안함과 안전성을 보증</w:t>
      </w:r>
    </w:p>
    <w:p w14:paraId="76D33EB3" w14:textId="77777777" w:rsidR="0017431E" w:rsidRPr="007B6406" w:rsidRDefault="0017431E" w:rsidP="005F2585">
      <w:pPr>
        <w:jc w:val="both"/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</w:pPr>
    </w:p>
    <w:p w14:paraId="358699A7" w14:textId="0B1CC88F" w:rsidR="00E40E23" w:rsidRPr="007B6406" w:rsidRDefault="005F2585" w:rsidP="005F2585">
      <w:pPr>
        <w:pStyle w:val="Heading2"/>
        <w:tabs>
          <w:tab w:val="left" w:pos="0"/>
          <w:tab w:val="left" w:pos="284"/>
        </w:tabs>
        <w:spacing w:before="0"/>
        <w:ind w:right="1559"/>
        <w:jc w:val="both"/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다양한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열가소성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엘라스토머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제품과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광범한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산업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분야에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맞춤형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솔루션을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제공하는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KRAIBURG TPE(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크라이버그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TPE)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는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글로벌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TPE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제조업체로서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도어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윈도우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씰용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EX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FR2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컴파운드 시리즈를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 w:val="0"/>
          <w:bCs w:val="0"/>
          <w:color w:val="auto"/>
          <w:sz w:val="20"/>
          <w:szCs w:val="20"/>
          <w:lang w:eastAsia="ko-KR"/>
        </w:rPr>
        <w:t>제공합니다</w:t>
      </w:r>
      <w:r w:rsidRPr="007B6406">
        <w:rPr>
          <w:rFonts w:ascii="NanumGothic" w:eastAsia="NanumGothic" w:hAnsi="NanumGothic" w:cs="Malgun Gothic Semilight"/>
          <w:b w:val="0"/>
          <w:bCs w:val="0"/>
          <w:color w:val="auto"/>
          <w:sz w:val="20"/>
          <w:szCs w:val="20"/>
          <w:lang w:eastAsia="ko-KR"/>
        </w:rPr>
        <w:t>.</w:t>
      </w:r>
    </w:p>
    <w:p w14:paraId="44C64052" w14:textId="78141617" w:rsidR="005F2585" w:rsidRPr="007B6406" w:rsidRDefault="005F2585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밀봉된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3D3F2B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도어와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3D3F2B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윈도우는</w:t>
      </w:r>
      <w:r w:rsidR="003D3F2B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단순한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보안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이상으로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중요합니다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. 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폭염</w:t>
      </w:r>
      <w:r w:rsidR="00E649E9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E649E9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또는 겨울 외풍 시 찬 공기를 건물 안에 유지시키고</w:t>
      </w:r>
      <w:r w:rsidR="003D3F2B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따뜻한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공기의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유입을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제한하여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건물의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에너지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효율을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향상시킵니다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  <w:r w:rsidR="00E649E9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문이나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창문이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제대로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밀봉되어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있으면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먼지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벌레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소음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원치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않는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물질이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건물</w:t>
      </w:r>
      <w:r w:rsidR="003D3F2B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 xml:space="preserve"> 안으로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들어오지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못하게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하여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건물을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깨끗하고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안전하며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편안한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환경으로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만들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있습니다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56D365DA" w14:textId="47916C2E" w:rsidR="00E40E23" w:rsidRPr="007B6406" w:rsidRDefault="00E40E23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751127BC" w14:textId="7004E642" w:rsidR="00650405" w:rsidRPr="007B6406" w:rsidRDefault="00650405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틈마개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도어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바닥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브러시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등과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같은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도어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씰은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주거용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상업용으로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사용할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있습니다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.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그러나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모든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씰링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재료가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동일하게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만들어지는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것은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아닙니다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06F74626" w14:textId="77777777" w:rsidR="00E40E23" w:rsidRPr="007B6406" w:rsidRDefault="00E40E23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7F3B3E1C" w14:textId="6326ABAA" w:rsidR="00650405" w:rsidRPr="007B6406" w:rsidRDefault="00650405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열가소성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엘라스토머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(TPE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s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)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같은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고급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소재를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사용하여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양호한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도어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씰에서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최상의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결과를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얻는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것은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자동차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건축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건설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산업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은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물론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씰링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용품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제품 제조 부문에서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널리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사용되고 있습니다.</w:t>
      </w:r>
    </w:p>
    <w:p w14:paraId="55BAAD5F" w14:textId="6B25D722" w:rsidR="00E40E23" w:rsidRPr="007B6406" w:rsidRDefault="00E40E23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24EB9303" w14:textId="44CCFEE7" w:rsidR="00650405" w:rsidRPr="007B6406" w:rsidRDefault="00650405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KRAIBURG TPE(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티피이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)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다양한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열가소성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엘라스토머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제품과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다양한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산업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분야에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맞춤형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솔루션을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제공하는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글로벌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TPE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제조업체로서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도어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산업용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어플리케이션에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적합한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기계적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물리적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특성을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갖춘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고품질의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맞춤형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엔지니어링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컴파운드를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61F8EAF6" w14:textId="255AC56C" w:rsidR="00E40E23" w:rsidRPr="007B6406" w:rsidRDefault="00E40E23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7599EB74" w14:textId="77777777" w:rsidR="00E40E23" w:rsidRPr="007B6406" w:rsidRDefault="00E40E23" w:rsidP="005F2585">
      <w:pPr>
        <w:spacing w:after="0"/>
        <w:ind w:right="1559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2CEAA818" w14:textId="3D92FE93" w:rsidR="00E40E23" w:rsidRPr="007B6406" w:rsidRDefault="00650405" w:rsidP="005F2585">
      <w:pPr>
        <w:spacing w:after="0"/>
        <w:ind w:right="1559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EX </w:t>
      </w: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시리즈</w:t>
      </w: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: </w:t>
      </w: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실내용</w:t>
      </w: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솔루션</w:t>
      </w:r>
    </w:p>
    <w:p w14:paraId="0561D854" w14:textId="1F7DB114" w:rsidR="00650405" w:rsidRPr="007B6406" w:rsidRDefault="00650405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KRAIBURG TPE(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티피이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)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EX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도어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용도에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적합하며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비용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효율성</w:t>
      </w:r>
      <w:r w:rsidR="00E651C5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은 물론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미학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기능성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설계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유연성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측면에서</w:t>
      </w:r>
      <w:r w:rsidR="00E651C5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제조업체에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이점을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38E0AD8E" w14:textId="77777777" w:rsidR="00E40E23" w:rsidRPr="007B6406" w:rsidRDefault="00E40E23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59DC5FBA" w14:textId="7525B712" w:rsidR="00E651C5" w:rsidRPr="007B6406" w:rsidRDefault="00E651C5" w:rsidP="005F2585">
      <w:pPr>
        <w:spacing w:after="0"/>
        <w:ind w:right="1559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PP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와의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접착력이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양호하고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아크릴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도료에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대한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내성이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있어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압출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성형용으로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개발되었으나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성형으로도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가공이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가능합니다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23A3AC99" w14:textId="77777777" w:rsidR="00E40E23" w:rsidRPr="007B6406" w:rsidRDefault="00E40E23" w:rsidP="005F2585">
      <w:pPr>
        <w:spacing w:after="0"/>
        <w:ind w:right="1559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209EBCBC" w14:textId="5235043D" w:rsidR="00E651C5" w:rsidRPr="007B6406" w:rsidRDefault="00E651C5" w:rsidP="005F2585">
      <w:pPr>
        <w:spacing w:after="0"/>
        <w:ind w:right="1559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E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X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시리즈는할로겐이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없으며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(IEC 61249-2-21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를 준수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) PVC-P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대체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소재입니다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.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검은색 및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자연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색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으로 제공되며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높은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안정성을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690AFB99" w14:textId="77777777" w:rsidR="00E40E23" w:rsidRPr="007B6406" w:rsidRDefault="00E40E23" w:rsidP="005F2585">
      <w:pPr>
        <w:spacing w:after="0"/>
        <w:ind w:right="1559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784ED2D5" w14:textId="49FDDEC0" w:rsidR="00E651C5" w:rsidRPr="007B6406" w:rsidRDefault="00E651C5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또한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생산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공정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내에서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재활용이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가능하며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라텍스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PVC,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프탈레이트를 함유하지 않으며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중금속이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첨가되지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않았습니다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243D74BF" w14:textId="77777777" w:rsidR="00E40E23" w:rsidRPr="007B6406" w:rsidRDefault="00E40E23" w:rsidP="005F2585">
      <w:pPr>
        <w:spacing w:after="0"/>
        <w:ind w:right="1559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4DA84871" w14:textId="19ABA50B" w:rsidR="00E651C5" w:rsidRPr="007B6406" w:rsidRDefault="00E651C5" w:rsidP="005F2585">
      <w:pPr>
        <w:spacing w:after="0"/>
        <w:ind w:right="1559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FR2 </w:t>
      </w: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시리즈</w:t>
      </w: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: </w:t>
      </w: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도어</w:t>
      </w: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씰용</w:t>
      </w: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화재</w:t>
      </w: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안전</w:t>
      </w: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솔루션</w:t>
      </w:r>
    </w:p>
    <w:p w14:paraId="0C79F1A0" w14:textId="68436C52" w:rsidR="00E651C5" w:rsidRPr="007B6406" w:rsidRDefault="00E651C5" w:rsidP="005F2585">
      <w:pPr>
        <w:spacing w:after="0"/>
        <w:ind w:right="1559"/>
        <w:jc w:val="both"/>
        <w:rPr>
          <w:rFonts w:ascii="NanumGothic" w:eastAsia="NanumGothic" w:hAnsi="NanumGothic" w:cs="Calibri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KRAIBURG TPE(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 티피이)의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도어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씰용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FR2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난연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(FR)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요건을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충족합니다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.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화재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발생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연기가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해당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지역으로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유입되는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것을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지연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방지하여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화재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안전을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B976A7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증진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합니다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4B973329" w14:textId="77777777" w:rsidR="00E40E23" w:rsidRPr="007B6406" w:rsidRDefault="00E40E23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75DF5CAC" w14:textId="3B8E125D" w:rsidR="00E651C5" w:rsidRPr="007B6406" w:rsidRDefault="00E651C5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자체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특성을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지닌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무할로겐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(IEC 61249-2-21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을 준수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)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다양한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화재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안전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기능을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3B565717" w14:textId="4C26DB22" w:rsidR="00E40E23" w:rsidRPr="007B6406" w:rsidRDefault="00E40E23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018BF2CD" w14:textId="5E62020B" w:rsidR="00791353" w:rsidRPr="007B6406" w:rsidRDefault="00734917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 xml:space="preserve">내추럴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색과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검은색으로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제공되는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FR2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시리즈는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철도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어플리케이션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분야에서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높은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LOI(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발화 손실)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낮은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독성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연기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밀도와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같은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요구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사항을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791353"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충족합니다</w:t>
      </w:r>
      <w:r w:rsidR="00791353"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7A57E7A4" w14:textId="77777777" w:rsidR="00E40E23" w:rsidRPr="007B6406" w:rsidRDefault="00E40E23" w:rsidP="005F2585">
      <w:pPr>
        <w:spacing w:after="0"/>
        <w:ind w:right="1559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195E7A10" w14:textId="7F865594" w:rsidR="00E40E23" w:rsidRPr="007B6406" w:rsidRDefault="00791353" w:rsidP="005F2585">
      <w:pPr>
        <w:spacing w:after="0"/>
        <w:ind w:right="1559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사전 채색 옵션</w:t>
      </w:r>
    </w:p>
    <w:p w14:paraId="667CA1E0" w14:textId="44C61DB4" w:rsidR="00791353" w:rsidRPr="007B6406" w:rsidRDefault="00791353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KRAIBURG TPE(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티피이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)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고객들에게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다양한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색상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옵션은 물론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세계적으로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일관된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색상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품질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표준을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6083B0CB" w14:textId="77777777" w:rsidR="00E40E23" w:rsidRPr="007B6406" w:rsidRDefault="00E40E23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498A0173" w14:textId="6CBFE35C" w:rsidR="00791353" w:rsidRPr="007B6406" w:rsidRDefault="00791353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착색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옵션을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사용할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있으므로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제조업체는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고객의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기호에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맞게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다양한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색상의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다양한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도어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씰을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생산할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있습니다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027EF0D3" w14:textId="77777777" w:rsidR="00E40E23" w:rsidRPr="007B6406" w:rsidRDefault="00E40E23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0D880066" w14:textId="3B042241" w:rsidR="0057225E" w:rsidRPr="007B6406" w:rsidRDefault="00791353" w:rsidP="005F2585">
      <w:pPr>
        <w:ind w:right="1559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lastRenderedPageBreak/>
        <w:t xml:space="preserve">당사 </w:t>
      </w: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>TPE</w:t>
      </w:r>
      <w:r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의 성공적인 지속 가능성</w:t>
      </w:r>
    </w:p>
    <w:p w14:paraId="0E88BBA5" w14:textId="750236D2" w:rsidR="00791353" w:rsidRPr="007B6406" w:rsidRDefault="00791353" w:rsidP="005F2585">
      <w:pPr>
        <w:ind w:right="1700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KRAIBURG TPE(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티피이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)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최근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지속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가능성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혁신에는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도어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씰용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소재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외에도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소비자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사용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재활용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(PCR)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산업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재활용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(PIR)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콘텐츠로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구성된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소비자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산업용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애플리케이션을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위해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특별히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개발된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소재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솔루션이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포함됩니다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5F164D11" w14:textId="162359BC" w:rsidR="00791353" w:rsidRPr="007B6406" w:rsidRDefault="00791353" w:rsidP="005F2585">
      <w:pPr>
        <w:ind w:right="1559"/>
        <w:jc w:val="both"/>
        <w:rPr>
          <w:rFonts w:ascii="NanumGothic" w:eastAsia="NanumGothic" w:hAnsi="NanumGothic" w:cs="Malgun Gothic Semilight"/>
          <w:sz w:val="20"/>
          <w:szCs w:val="20"/>
          <w:u w:val="single"/>
          <w:lang w:eastAsia="ko-KR"/>
        </w:rPr>
      </w:pP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지속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가능한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TPE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솔루션을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찾고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계십니까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?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u w:val="single"/>
          <w:lang w:eastAsia="ko-KR"/>
        </w:rPr>
        <w:t>당사에 문의하십시오</w:t>
      </w:r>
      <w:r w:rsidRPr="007B6406">
        <w:rPr>
          <w:rFonts w:ascii="NanumGothic" w:eastAsia="NanumGothic" w:hAnsi="NanumGothic" w:cs="Malgun Gothic Semilight"/>
          <w:sz w:val="20"/>
          <w:szCs w:val="20"/>
          <w:u w:val="single"/>
          <w:lang w:eastAsia="ko-KR"/>
        </w:rPr>
        <w:t>!</w:t>
      </w:r>
    </w:p>
    <w:p w14:paraId="6F2B3837" w14:textId="3CDFBE4F" w:rsidR="00791353" w:rsidRPr="007B6406" w:rsidRDefault="00791353" w:rsidP="005F2585">
      <w:pPr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당사의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전문가가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귀하의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질문에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기꺼이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답변하고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귀하의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어플리케이션에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적합한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솔루션을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제공할 것입니다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72541C6C" w14:textId="2ED6BF37" w:rsidR="004562AC" w:rsidRPr="007B6406" w:rsidRDefault="005145BB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 w:bidi="ar-SA"/>
        </w:rPr>
      </w:pPr>
      <w:r w:rsidRPr="007B6406">
        <w:rPr>
          <w:rFonts w:ascii="NanumGothic" w:eastAsia="NanumGothic" w:hAnsi="NanumGothic"/>
          <w:noProof/>
        </w:rPr>
        <w:drawing>
          <wp:inline distT="0" distB="0" distL="0" distR="0" wp14:anchorId="7F725E1E" wp14:editId="1CC6D66C">
            <wp:extent cx="4337050" cy="2399042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573" cy="242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10EF0FA3" w:rsidR="005320D5" w:rsidRPr="007B6406" w:rsidRDefault="005320D5" w:rsidP="005F2585">
      <w:pPr>
        <w:keepNext/>
        <w:keepLines/>
        <w:spacing w:after="0"/>
        <w:ind w:right="1559"/>
        <w:rPr>
          <w:rFonts w:ascii="NanumGothic" w:eastAsia="NanumGothic" w:hAnsi="NanumGothic" w:cs="Malgun Gothic Semilight"/>
          <w:noProof/>
          <w:lang w:eastAsia="ko-KR"/>
        </w:rPr>
      </w:pP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>(</w:t>
      </w:r>
      <w:r w:rsidR="00791353" w:rsidRPr="007B6406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 w:bidi="ar-SA"/>
        </w:rPr>
        <w:t>사진</w:t>
      </w: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 xml:space="preserve">: </w:t>
      </w:r>
      <w:r w:rsidRPr="007B6406">
        <w:rPr>
          <w:rFonts w:ascii="NanumGothic" w:eastAsia="NanumGothic" w:hAnsi="NanumGothic" w:cs="Calibri"/>
          <w:b/>
          <w:bCs/>
          <w:sz w:val="20"/>
          <w:szCs w:val="20"/>
          <w:lang w:eastAsia="ko-KR" w:bidi="ar-SA"/>
        </w:rPr>
        <w:t>©</w:t>
      </w: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 xml:space="preserve"> 20</w:t>
      </w:r>
      <w:r w:rsidR="00D2377C"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>2</w:t>
      </w:r>
      <w:r w:rsidR="00A3687E"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>3</w:t>
      </w:r>
      <w:r w:rsidRPr="007B6406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 xml:space="preserve"> KRAIBURG TPE)</w:t>
      </w:r>
    </w:p>
    <w:p w14:paraId="6FC6BFB4" w14:textId="368CF28E" w:rsidR="00EC7126" w:rsidRPr="007B6406" w:rsidRDefault="00E649E9" w:rsidP="005F2585">
      <w:pPr>
        <w:spacing w:after="0"/>
        <w:ind w:right="1559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고해상도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사진은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Bridget Ngang(</w:t>
      </w:r>
      <w:r w:rsidRPr="007B6406">
        <w:rPr>
          <w:rFonts w:ascii="NanumGothic" w:eastAsia="NanumGothic" w:hAnsi="NanumGothic" w:cs="Malgun Gothic Semilight"/>
          <w:sz w:val="20"/>
          <w:szCs w:val="20"/>
          <w:u w:val="single"/>
          <w:lang w:eastAsia="ko-KR"/>
        </w:rPr>
        <w:t>bridget.ngang@kraiburg-tpe.com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, +6 03 9545 6301)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에게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B6406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문의하십시오</w:t>
      </w:r>
      <w:r w:rsidRPr="007B6406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6588D228" w14:textId="77777777" w:rsidR="00EC7126" w:rsidRPr="007B6406" w:rsidRDefault="00EC7126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053987E0" w14:textId="7E421E69" w:rsidR="00EC7126" w:rsidRDefault="00EC7126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4995AD36" w14:textId="0E22CF41" w:rsidR="007B6406" w:rsidRDefault="007B6406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6875B3E6" w14:textId="77777777" w:rsidR="007B6406" w:rsidRPr="007B6406" w:rsidRDefault="007B6406" w:rsidP="005F2585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354AFA3B" w14:textId="5192295A" w:rsidR="009D2688" w:rsidRPr="007B6406" w:rsidRDefault="00E649E9" w:rsidP="005F2585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  <w:r w:rsidRPr="007B6406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lastRenderedPageBreak/>
        <w:t>언론인</w:t>
      </w:r>
      <w:r w:rsidR="009D2688"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6406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 xml:space="preserve"> 용 정보</w:t>
      </w:r>
    </w:p>
    <w:p w14:paraId="186E82FA" w14:textId="12CA20B0" w:rsidR="009D2688" w:rsidRPr="007B6406" w:rsidRDefault="00E649E9" w:rsidP="005F2585">
      <w:pPr>
        <w:ind w:right="1559"/>
        <w:rPr>
          <w:rFonts w:ascii="NanumGothic" w:eastAsia="NanumGothic" w:hAnsi="NanumGothic" w:cs="Malgun Gothic Semilight"/>
          <w:bCs/>
          <w:sz w:val="21"/>
          <w:szCs w:val="21"/>
          <w:lang w:val="en-GB" w:eastAsia="ko-KR"/>
        </w:rPr>
      </w:pPr>
      <w:r w:rsidRPr="007B6406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고해상도 이미지 다운로드</w:t>
      </w:r>
    </w:p>
    <w:p w14:paraId="62A3669E" w14:textId="77777777" w:rsidR="009D2688" w:rsidRPr="007B6406" w:rsidRDefault="009D2688" w:rsidP="005F2585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  <w:r w:rsidRPr="007B6406">
        <w:rPr>
          <w:rFonts w:ascii="NanumGothic" w:eastAsia="NanumGothic" w:hAnsi="NanumGothic" w:cs="Malgun Gothic Semilight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14DA5C50" w:rsidR="009D2688" w:rsidRPr="007B6406" w:rsidRDefault="0059243F" w:rsidP="005F2585">
      <w:pPr>
        <w:ind w:right="1559"/>
        <w:rPr>
          <w:rFonts w:ascii="NanumGothic" w:eastAsia="NanumGothic" w:hAnsi="NanumGothic" w:cs="Malgun Gothic Semilight"/>
          <w:bCs/>
          <w:sz w:val="21"/>
          <w:szCs w:val="21"/>
          <w:lang w:val="en-GB" w:eastAsia="ko-KR"/>
        </w:rPr>
      </w:pPr>
      <w:hyperlink r:id="rId16" w:history="1">
        <w:r w:rsidR="009D2688" w:rsidRPr="007B6406">
          <w:rPr>
            <w:rStyle w:val="Hyperlink"/>
            <w:rFonts w:ascii="NanumGothic" w:eastAsia="NanumGothic" w:hAnsi="NanumGothic" w:cs="Malgun Gothic Semilight"/>
            <w:bCs/>
            <w:color w:val="auto"/>
            <w:sz w:val="21"/>
            <w:szCs w:val="21"/>
            <w:lang w:val="en-GB" w:eastAsia="ko-KR"/>
          </w:rPr>
          <w:t>KRAIBURG TPE</w:t>
        </w:r>
      </w:hyperlink>
      <w:r w:rsidR="00E649E9" w:rsidRPr="007B6406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>(</w:t>
      </w:r>
      <w:r w:rsidR="00E649E9" w:rsidRPr="007B6406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크라이버그 티피이)</w:t>
      </w:r>
      <w:r w:rsidR="00E649E9" w:rsidRPr="007B6406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="00E649E9" w:rsidRPr="007B6406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최근 뉴스</w:t>
      </w:r>
    </w:p>
    <w:p w14:paraId="14653B29" w14:textId="77777777" w:rsidR="009D2688" w:rsidRPr="007B6406" w:rsidRDefault="009D2688" w:rsidP="005F2585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</w:p>
    <w:p w14:paraId="020DD930" w14:textId="69A51462" w:rsidR="009D2688" w:rsidRPr="007B6406" w:rsidRDefault="00E649E9" w:rsidP="005F2585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  <w:r w:rsidRPr="007B6406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>소셜 미디어에서 만나요:</w:t>
      </w:r>
    </w:p>
    <w:p w14:paraId="6851B976" w14:textId="77777777" w:rsidR="009D2688" w:rsidRPr="007B6406" w:rsidRDefault="009D2688" w:rsidP="005F2585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MY" w:eastAsia="ko-KR"/>
        </w:rPr>
      </w:pPr>
      <w:r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t xml:space="preserve"> </w:t>
      </w:r>
      <w:r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t xml:space="preserve">   </w:t>
      </w:r>
      <w:r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t xml:space="preserve">    </w:t>
      </w:r>
      <w:r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t xml:space="preserve"> </w:t>
      </w:r>
      <w:r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de-DE" w:eastAsia="ko-KR"/>
        </w:rPr>
        <w:t xml:space="preserve">  </w:t>
      </w:r>
      <w:r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de-DE" w:eastAsia="ko-KR"/>
        </w:rPr>
        <w:t xml:space="preserve">  </w:t>
      </w:r>
      <w:r w:rsidRPr="007B6406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3D7A995" w:rsidR="009D2688" w:rsidRPr="007B6406" w:rsidRDefault="009D2688" w:rsidP="005F2585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MY" w:eastAsia="ko-KR"/>
        </w:rPr>
      </w:pPr>
      <w:r w:rsidRPr="007B6406">
        <w:rPr>
          <w:rFonts w:ascii="NanumGothic" w:eastAsia="NanumGothic" w:hAnsi="NanumGothic" w:cs="Malgun Gothic Semilight"/>
          <w:b/>
          <w:sz w:val="21"/>
          <w:szCs w:val="21"/>
          <w:lang w:val="en-MY" w:eastAsia="ko-KR"/>
        </w:rPr>
        <w:t>WeChat</w:t>
      </w:r>
      <w:r w:rsidR="00E649E9" w:rsidRPr="007B6406">
        <w:rPr>
          <w:rFonts w:ascii="NanumGothic" w:eastAsia="NanumGothic" w:hAnsi="NanumGothic" w:cs="Malgun Gothic Semilight" w:hint="eastAsia"/>
          <w:b/>
          <w:sz w:val="21"/>
          <w:szCs w:val="21"/>
          <w:lang w:val="en-MY" w:eastAsia="ko-KR"/>
        </w:rPr>
        <w:t>에서 팔로우 해요</w:t>
      </w:r>
    </w:p>
    <w:p w14:paraId="4630E342" w14:textId="131CB1CC" w:rsidR="009D2688" w:rsidRPr="007B6406" w:rsidRDefault="009D2688" w:rsidP="005F2585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MY"/>
        </w:rPr>
      </w:pPr>
      <w:r w:rsidRPr="007B6406">
        <w:rPr>
          <w:rFonts w:ascii="NanumGothic" w:eastAsia="NanumGothic" w:hAnsi="NanumGothic" w:cs="Malgun Gothic Semilight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562641E5" w:rsidR="001655F4" w:rsidRPr="007B6406" w:rsidRDefault="00B65408" w:rsidP="00B65408">
      <w:pPr>
        <w:ind w:right="1559"/>
        <w:jc w:val="both"/>
        <w:rPr>
          <w:rFonts w:ascii="NanumGothic" w:eastAsia="NanumGothic" w:hAnsi="NanumGothic" w:cs="Malgun Gothic Semilight"/>
          <w:b/>
          <w:sz w:val="21"/>
          <w:szCs w:val="21"/>
          <w:lang w:val="en-MY" w:eastAsia="ko-KR"/>
        </w:rPr>
      </w:pPr>
      <w:r w:rsidRPr="007B6406">
        <w:rPr>
          <w:rFonts w:ascii="NanumGothic" w:eastAsia="NanumGothic" w:hAnsi="NanumGothic" w:cs="Arial"/>
          <w:bCs/>
          <w:sz w:val="20"/>
          <w:lang w:eastAsia="ko-KR"/>
        </w:rPr>
        <w:t>KRAIBURG TPE (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sz w:val="20"/>
          <w:szCs w:val="20"/>
          <w:lang w:eastAsia="ko-KR"/>
        </w:rPr>
        <w:t>티피이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28" w:history="1">
        <w:r w:rsidRPr="007B6406">
          <w:rPr>
            <w:rStyle w:val="Hyperlink"/>
            <w:rFonts w:ascii="NanumGothic" w:eastAsia="NanumGothic" w:hAnsi="NanumGothic" w:cs="Arial"/>
            <w:bCs/>
            <w:sz w:val="20"/>
            <w:lang w:eastAsia="ko-KR"/>
          </w:rPr>
          <w:t>www.kraiburg-tpe.com</w:t>
        </w:r>
      </w:hyperlink>
      <w:r w:rsidRPr="007B6406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>. 1947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2001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KRAIBURG TPE(크라이버그 티피이)는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TPE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TPE(크라이버그 티피이)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THERMOLAST</w:t>
      </w:r>
      <w:r w:rsidRPr="007B6406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>, COPEC</w:t>
      </w:r>
      <w:r w:rsidRPr="007B6406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>, HIPEX</w:t>
      </w:r>
      <w:r w:rsidRPr="007B6406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For Tec E</w:t>
      </w:r>
      <w:r w:rsidRPr="007B6406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lastRenderedPageBreak/>
        <w:t>TPE(크라이버그 티피이)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>. KRAIBURG TPE(크라이버그 티피이)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ISO 50001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ISO 9001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ISO 14001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>. 20</w:t>
      </w:r>
      <w:r w:rsidRPr="007B6406">
        <w:rPr>
          <w:rFonts w:ascii="NanumGothic" w:eastAsia="NanumGothic" w:hAnsi="NanumGothic" w:cs="Arial"/>
          <w:bCs/>
          <w:sz w:val="20"/>
          <w:lang w:val="en-MY" w:eastAsia="ko-KR"/>
        </w:rPr>
        <w:t>20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6</w:t>
      </w:r>
      <w:r w:rsidRPr="007B6406">
        <w:rPr>
          <w:rFonts w:ascii="NanumGothic" w:eastAsia="NanumGothic" w:hAnsi="NanumGothic" w:cs="Arial"/>
          <w:bCs/>
          <w:sz w:val="20"/>
          <w:lang w:val="en-MY" w:eastAsia="ko-KR"/>
        </w:rPr>
        <w:t>50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1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MY" w:eastAsia="ko-KR"/>
        </w:rPr>
        <w:t>84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>00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B6406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7B6406">
        <w:rPr>
          <w:rFonts w:ascii="NanumGothic" w:eastAsia="NanumGothic" w:hAnsi="NanumGothic" w:cs="Arial"/>
          <w:bCs/>
          <w:sz w:val="20"/>
          <w:lang w:eastAsia="ko-KR"/>
        </w:rPr>
        <w:t>.</w:t>
      </w:r>
    </w:p>
    <w:sectPr w:rsidR="001655F4" w:rsidRPr="007B6406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50290" w14:textId="77777777" w:rsidR="00EA256A" w:rsidRDefault="00EA256A" w:rsidP="00784C57">
      <w:pPr>
        <w:spacing w:after="0" w:line="240" w:lineRule="auto"/>
      </w:pPr>
      <w:r>
        <w:separator/>
      </w:r>
    </w:p>
  </w:endnote>
  <w:endnote w:type="continuationSeparator" w:id="0">
    <w:p w14:paraId="14255717" w14:textId="77777777" w:rsidR="00EA256A" w:rsidRDefault="00EA256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 Semilight">
    <w:altName w:val="Malgun Gothic Semilight"/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59243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59243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65408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6540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AA202" w14:textId="77777777" w:rsidR="00EA256A" w:rsidRDefault="00EA256A" w:rsidP="00784C57">
      <w:pPr>
        <w:spacing w:after="0" w:line="240" w:lineRule="auto"/>
      </w:pPr>
      <w:r>
        <w:separator/>
      </w:r>
    </w:p>
  </w:footnote>
  <w:footnote w:type="continuationSeparator" w:id="0">
    <w:p w14:paraId="189D61C3" w14:textId="77777777" w:rsidR="00EA256A" w:rsidRDefault="00EA256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3FFD94CC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521E5434" w:rsidR="00A3687E" w:rsidRPr="005145BB" w:rsidRDefault="005F2585" w:rsidP="00A3687E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val="de-DE" w:eastAsia="ko-KR"/>
            </w:rPr>
          </w:pPr>
          <w:r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145BB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4900FA5" w14:textId="6EFCD1B3" w:rsidR="00E40E23" w:rsidRPr="007B6406" w:rsidRDefault="005F2585" w:rsidP="00E40E23">
          <w:pPr>
            <w:spacing w:after="0" w:line="360" w:lineRule="auto"/>
            <w:ind w:left="-105"/>
            <w:jc w:val="both"/>
            <w:rPr>
              <w:rFonts w:ascii="NanumGothic" w:eastAsia="NanumGothic" w:hAnsi="NanumGothic" w:cs="Malgun Gothic Semilight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7B6406">
            <w:rPr>
              <w:rFonts w:ascii="NanumGothic" w:eastAsia="NanumGothic" w:hAnsi="NanumGothic" w:cs="Malgun Gothic Semilight"/>
              <w:b/>
              <w:bCs/>
              <w:sz w:val="16"/>
              <w:szCs w:val="16"/>
              <w:lang w:val="de-DE" w:eastAsia="ko-KR"/>
            </w:rPr>
            <w:t>TPEs</w:t>
          </w:r>
          <w:r w:rsidRPr="007B6406">
            <w:rPr>
              <w:rFonts w:ascii="NanumGothic" w:eastAsia="NanumGothic" w:hAnsi="NanumGothic" w:cs="Malgun Gothic Semilight" w:hint="eastAsia"/>
              <w:b/>
              <w:bCs/>
              <w:sz w:val="16"/>
              <w:szCs w:val="16"/>
              <w:lang w:eastAsia="ko-KR"/>
            </w:rPr>
            <w:t>로</w:t>
          </w:r>
          <w:r w:rsidRPr="007B6406">
            <w:rPr>
              <w:rFonts w:ascii="NanumGothic" w:eastAsia="NanumGothic" w:hAnsi="NanumGothic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7B6406">
            <w:rPr>
              <w:rFonts w:ascii="NanumGothic" w:eastAsia="NanumGothic" w:hAnsi="NanumGothic" w:cs="Malgun Gothic Semilight" w:hint="eastAsia"/>
              <w:b/>
              <w:bCs/>
              <w:sz w:val="16"/>
              <w:szCs w:val="16"/>
              <w:lang w:eastAsia="ko-KR"/>
            </w:rPr>
            <w:t>편안함과</w:t>
          </w:r>
          <w:r w:rsidRPr="007B6406">
            <w:rPr>
              <w:rFonts w:ascii="NanumGothic" w:eastAsia="NanumGothic" w:hAnsi="NanumGothic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7B6406">
            <w:rPr>
              <w:rFonts w:ascii="NanumGothic" w:eastAsia="NanumGothic" w:hAnsi="NanumGothic" w:cs="Malgun Gothic Semilight" w:hint="eastAsia"/>
              <w:b/>
              <w:bCs/>
              <w:sz w:val="16"/>
              <w:szCs w:val="16"/>
              <w:lang w:eastAsia="ko-KR"/>
            </w:rPr>
            <w:t>안전성을</w:t>
          </w:r>
          <w:r w:rsidRPr="007B6406">
            <w:rPr>
              <w:rFonts w:ascii="NanumGothic" w:eastAsia="NanumGothic" w:hAnsi="NanumGothic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7B6406">
            <w:rPr>
              <w:rFonts w:ascii="NanumGothic" w:eastAsia="NanumGothic" w:hAnsi="NanumGothic" w:cs="Malgun Gothic Semilight" w:hint="eastAsia"/>
              <w:b/>
              <w:bCs/>
              <w:sz w:val="16"/>
              <w:szCs w:val="16"/>
              <w:lang w:eastAsia="ko-KR"/>
            </w:rPr>
            <w:t>보증</w:t>
          </w:r>
        </w:p>
        <w:p w14:paraId="4E4FBEF9" w14:textId="48882627" w:rsidR="008F55F4" w:rsidRPr="007B6406" w:rsidRDefault="00A3687E" w:rsidP="008F55F4">
          <w:pPr>
            <w:spacing w:after="0" w:line="360" w:lineRule="auto"/>
            <w:ind w:left="-105"/>
            <w:jc w:val="both"/>
            <w:rPr>
              <w:rFonts w:ascii="NanumGothic" w:eastAsia="NanumGothic" w:hAnsi="NanumGothic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2023</w:t>
          </w:r>
          <w:r w:rsidR="005F2585" w:rsidRPr="007B6406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5F2585"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1</w:t>
          </w:r>
          <w:r w:rsidR="005F2585" w:rsidRPr="007B6406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월,</w:t>
          </w:r>
          <w:r w:rsidR="005F2585"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="005F2585" w:rsidRPr="007B6406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55D22442" w:rsidR="00502615" w:rsidRPr="00073D11" w:rsidRDefault="005F2585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7B6406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D95D0D"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="00D95D0D" w:rsidRPr="007B6406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begin"/>
          </w:r>
          <w:r w:rsidR="00D95D0D" w:rsidRPr="007B6406">
            <w:rPr>
              <w:rFonts w:ascii="NanumGothic" w:eastAsia="NanumGothic" w:hAnsi="NanumGothic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7B6406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separate"/>
          </w:r>
          <w:r w:rsidR="00B85723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t>2</w:t>
          </w:r>
          <w:r w:rsidR="00D95D0D" w:rsidRPr="007B6406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end"/>
          </w:r>
          <w:r w:rsidR="00D95D0D"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/</w:t>
          </w:r>
          <w:r w:rsidR="00D95D0D"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="00D95D0D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D95D0D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B85723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4BB7FB" w14:textId="5338D7BC" w:rsidR="00E40E23" w:rsidRPr="005F2585" w:rsidRDefault="005F2585" w:rsidP="00E40E23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5F2585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51B37A8" w14:textId="513BF6E3" w:rsidR="00E40E23" w:rsidRPr="007B6406" w:rsidRDefault="005F2585" w:rsidP="00E40E23">
          <w:pPr>
            <w:spacing w:after="0" w:line="360" w:lineRule="auto"/>
            <w:ind w:left="-105"/>
            <w:jc w:val="both"/>
            <w:rPr>
              <w:rFonts w:ascii="NanumGothic" w:eastAsia="NanumGothic" w:hAnsi="NanumGothic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7B6406">
            <w:rPr>
              <w:rFonts w:ascii="NanumGothic" w:eastAsia="NanumGothic" w:hAnsi="NanumGothic" w:cs="Malgun Gothic Semilight"/>
              <w:b/>
              <w:bCs/>
              <w:sz w:val="16"/>
              <w:szCs w:val="16"/>
              <w:lang w:eastAsia="ko-KR"/>
            </w:rPr>
            <w:t>TPEs</w:t>
          </w:r>
          <w:r w:rsidRPr="007B6406">
            <w:rPr>
              <w:rFonts w:ascii="NanumGothic" w:eastAsia="NanumGothic" w:hAnsi="NanumGothic" w:cs="Malgun Gothic Semilight" w:hint="eastAsia"/>
              <w:b/>
              <w:bCs/>
              <w:sz w:val="16"/>
              <w:szCs w:val="16"/>
              <w:lang w:eastAsia="ko-KR"/>
            </w:rPr>
            <w:t>로 편안함과 안전성을 보증</w:t>
          </w:r>
        </w:p>
        <w:p w14:paraId="765F9503" w14:textId="78FC3145" w:rsidR="003C4170" w:rsidRPr="007B6406" w:rsidRDefault="001F4135" w:rsidP="008F55F4">
          <w:pPr>
            <w:spacing w:after="0" w:line="360" w:lineRule="auto"/>
            <w:ind w:left="-105"/>
            <w:jc w:val="both"/>
            <w:rPr>
              <w:rFonts w:ascii="NanumGothic" w:eastAsia="NanumGothic" w:hAnsi="NanumGothic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202</w:t>
          </w:r>
          <w:r w:rsidR="00A3687E"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3</w:t>
          </w:r>
          <w:r w:rsidR="005F2585" w:rsidRPr="007B6406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5F2585"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1</w:t>
          </w:r>
          <w:r w:rsidR="005F2585" w:rsidRPr="007B6406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월,</w:t>
          </w:r>
          <w:r w:rsidR="005F2585"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="005F2585" w:rsidRPr="007B6406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6B9E7846" w:rsidR="003C4170" w:rsidRPr="00073D11" w:rsidRDefault="005F2585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7B6406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3C4170"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="003C4170" w:rsidRPr="007B6406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begin"/>
          </w:r>
          <w:r w:rsidR="003C4170" w:rsidRPr="007B6406">
            <w:rPr>
              <w:rFonts w:ascii="NanumGothic" w:eastAsia="NanumGothic" w:hAnsi="NanumGothic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7B6406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separate"/>
          </w:r>
          <w:r w:rsidR="00B85723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7B6406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end"/>
          </w:r>
          <w:r w:rsidR="003C4170"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/</w:t>
          </w:r>
          <w:r w:rsidR="003C4170" w:rsidRPr="007B6406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="003C4170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3C4170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B85723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7B6406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D70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09A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271BA"/>
    <w:rsid w:val="00133856"/>
    <w:rsid w:val="00133C79"/>
    <w:rsid w:val="00144072"/>
    <w:rsid w:val="00146E7E"/>
    <w:rsid w:val="001507B4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006D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532B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3F2B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5BB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1B7E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F2585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0405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34917"/>
    <w:rsid w:val="00744F3B"/>
    <w:rsid w:val="00762555"/>
    <w:rsid w:val="0077610C"/>
    <w:rsid w:val="0078239C"/>
    <w:rsid w:val="007831E2"/>
    <w:rsid w:val="00784C57"/>
    <w:rsid w:val="00786798"/>
    <w:rsid w:val="00791353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B6406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C6229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1EB6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43FD8"/>
    <w:rsid w:val="00B45417"/>
    <w:rsid w:val="00B51833"/>
    <w:rsid w:val="00B65408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976A7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678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4355"/>
    <w:rsid w:val="00E34E27"/>
    <w:rsid w:val="00E40E23"/>
    <w:rsid w:val="00E52729"/>
    <w:rsid w:val="00E533F6"/>
    <w:rsid w:val="00E57256"/>
    <w:rsid w:val="00E6073D"/>
    <w:rsid w:val="00E61AA8"/>
    <w:rsid w:val="00E628B9"/>
    <w:rsid w:val="00E63371"/>
    <w:rsid w:val="00E63E21"/>
    <w:rsid w:val="00E649E9"/>
    <w:rsid w:val="00E651C5"/>
    <w:rsid w:val="00E72840"/>
    <w:rsid w:val="00E75CF3"/>
    <w:rsid w:val="00E812C0"/>
    <w:rsid w:val="00E85ACE"/>
    <w:rsid w:val="00E872C3"/>
    <w:rsid w:val="00E908C9"/>
    <w:rsid w:val="00E90E3A"/>
    <w:rsid w:val="00E96037"/>
    <w:rsid w:val="00EA256A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E2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b0aac98f-77e3-488e-b1d0-e526279ba76f"/>
    <ds:schemaRef ds:uri="http://schemas.microsoft.com/office/2006/metadata/properties"/>
    <ds:schemaRef ds:uri="8d3818be-6f21-4c29-ab13-78e30dc982d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421</Words>
  <Characters>2401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2023-01-05T08:45:00Z</dcterms:created>
  <dcterms:modified xsi:type="dcterms:W3CDTF">2023-01-12T01:46:00Z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