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63547" w14:textId="7B959D88" w:rsidR="00A26505" w:rsidRPr="00D7615C" w:rsidRDefault="00CE198F" w:rsidP="00572E61">
      <w:pPr>
        <w:ind w:right="1559"/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</w:pP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정형외과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장비에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KRAIBURG TPE(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크라이버그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티피이)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소재를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선택해야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하는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7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가지</w:t>
      </w:r>
      <w:r w:rsidRPr="00D7615C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이유</w:t>
      </w:r>
    </w:p>
    <w:p w14:paraId="6A4F1201" w14:textId="41B0A05C" w:rsidR="002521D2" w:rsidRPr="00D7615C" w:rsidRDefault="002521D2" w:rsidP="00572E61">
      <w:pPr>
        <w:spacing w:after="0"/>
        <w:ind w:right="1984"/>
        <w:jc w:val="both"/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다양한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산업에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열가소성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엘라스토머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(TPE)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맞춤형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TPE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솔루션을 제공하는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글로벌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제조업체인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KRAIBURG TPE(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크라이버그 티피이)는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정형외과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장비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설계에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사용할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수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있는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THERMOLAST</w:t>
      </w:r>
      <w:r w:rsidRPr="00D7615C">
        <w:rPr>
          <w:rFonts w:ascii="NanumGothic" w:eastAsia="NanumGothic" w:hAnsi="NanumGothic" w:cs="Calibri"/>
          <w:color w:val="000000" w:themeColor="text1"/>
          <w:sz w:val="20"/>
          <w:szCs w:val="20"/>
          <w:lang w:eastAsia="ko-KR"/>
        </w:rPr>
        <w:t>®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H HC/AP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시리즈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화합물을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color w:val="000000" w:themeColor="text1"/>
          <w:sz w:val="20"/>
          <w:szCs w:val="20"/>
          <w:lang w:eastAsia="ko-KR"/>
        </w:rPr>
        <w:t>출시합니다</w:t>
      </w:r>
      <w:r w:rsidRPr="00D7615C">
        <w:rPr>
          <w:rFonts w:ascii="NanumGothic" w:eastAsia="NanumGothic" w:hAnsi="NanumGothic" w:cs="Malgun Gothic Semilight"/>
          <w:color w:val="000000" w:themeColor="text1"/>
          <w:sz w:val="20"/>
          <w:szCs w:val="20"/>
          <w:lang w:eastAsia="ko-KR"/>
        </w:rPr>
        <w:t>.</w:t>
      </w:r>
    </w:p>
    <w:p w14:paraId="01864FDC" w14:textId="1D2A9DAD" w:rsidR="00C163EB" w:rsidRPr="00D7615C" w:rsidRDefault="00C163EB" w:rsidP="00572E61">
      <w:pPr>
        <w:spacing w:after="0"/>
        <w:ind w:right="1984"/>
        <w:jc w:val="both"/>
        <w:rPr>
          <w:rFonts w:ascii="NanumGothic" w:eastAsia="NanumGothic" w:hAnsi="NanumGothic" w:cs="Malgun Gothic Semilight"/>
          <w:sz w:val="20"/>
          <w:szCs w:val="20"/>
        </w:rPr>
      </w:pPr>
    </w:p>
    <w:p w14:paraId="0621C466" w14:textId="6A551FE7" w:rsidR="002521D2" w:rsidRPr="00D7615C" w:rsidRDefault="002521D2" w:rsidP="00572E61">
      <w:pPr>
        <w:spacing w:after="0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열가소성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엘라스토머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(TPE)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기능성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내구성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독특한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특성으로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인해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정형외과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장비에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사용되고 있습니다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이러한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이유로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KRAIBURG TPE(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 티피이)의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혁신적인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THERMOLAST</w:t>
      </w:r>
      <w:r w:rsidRPr="00D7615C">
        <w:rPr>
          <w:rFonts w:ascii="NanumGothic" w:eastAsia="NanumGothic" w:hAnsi="NanumGothic" w:cs="Calibri"/>
          <w:sz w:val="20"/>
          <w:szCs w:val="20"/>
          <w:lang w:eastAsia="ko-KR"/>
        </w:rPr>
        <w:t>®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H HC/AP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휠체어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목발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무릎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관절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보호대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정형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워킹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부츠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허리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지지대와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정형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외과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장비에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이상적인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18B26C90" w14:textId="77777777" w:rsidR="00C163EB" w:rsidRPr="00D7615C" w:rsidRDefault="00C163EB" w:rsidP="00572E61">
      <w:pPr>
        <w:spacing w:after="0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333CC6F4" w14:textId="7EA2D383" w:rsidR="00A2231F" w:rsidRPr="00D7615C" w:rsidRDefault="00A2231F" w:rsidP="00572E61">
      <w:pPr>
        <w:spacing w:after="0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성능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무게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특성과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중요한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요소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외에도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TPE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높은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순도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(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낮은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수준의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추출 컴파운드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),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재활용성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비용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효율성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때문에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많은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어플리케이션에서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선택되는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재료이기도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합니다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장비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설계자와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제조업체에게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THERMOLAST</w:t>
      </w:r>
      <w:r w:rsidRPr="00D7615C">
        <w:rPr>
          <w:rFonts w:ascii="NanumGothic" w:eastAsia="NanumGothic" w:hAnsi="NanumGothic" w:cs="Calibri"/>
          <w:sz w:val="20"/>
          <w:szCs w:val="20"/>
          <w:lang w:eastAsia="ko-KR"/>
        </w:rPr>
        <w:t>®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H HC/AP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다음과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많은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이점을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10035EFF" w14:textId="32BD4923" w:rsidR="00C163EB" w:rsidRPr="00D7615C" w:rsidRDefault="00C163EB" w:rsidP="00572E61">
      <w:pPr>
        <w:spacing w:after="0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205AB54B" w14:textId="3DD9F0FB" w:rsidR="00C163EB" w:rsidRPr="00D7615C" w:rsidRDefault="00A2231F" w:rsidP="00572E61">
      <w:pPr>
        <w:pStyle w:val="ListParagraph"/>
        <w:numPr>
          <w:ilvl w:val="0"/>
          <w:numId w:val="18"/>
        </w:numPr>
        <w:spacing w:line="276" w:lineRule="auto"/>
        <w:ind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아시아 태평양 지역의 의료 수요에 중점을 둠</w:t>
      </w:r>
    </w:p>
    <w:p w14:paraId="2C55276F" w14:textId="761D147D" w:rsidR="00C163EB" w:rsidRPr="00D7615C" w:rsidRDefault="00A2231F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KRAIBURG </w:t>
      </w:r>
      <w:proofErr w:type="gramStart"/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TPE(</w:t>
      </w:r>
      <w:proofErr w:type="gramEnd"/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 티피이)의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THERMOLAST</w:t>
      </w:r>
      <w:r w:rsidRPr="00D7615C">
        <w:rPr>
          <w:rFonts w:ascii="NanumGothic" w:eastAsia="NanumGothic" w:hAnsi="NanumGothic" w:cs="Calibri"/>
          <w:sz w:val="20"/>
          <w:szCs w:val="20"/>
          <w:lang w:eastAsia="ko-KR"/>
        </w:rPr>
        <w:t>®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H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="00135583"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아시아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태평양 지역의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헬스케어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기기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시장 전용으로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설계되었습니다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55DFED51" w14:textId="77777777" w:rsidR="00C163EB" w:rsidRPr="00D7615C" w:rsidRDefault="00C163EB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32A3F6B7" w14:textId="7DF59CB8" w:rsidR="00C163EB" w:rsidRPr="00D7615C" w:rsidRDefault="00135583" w:rsidP="00572E61">
      <w:pPr>
        <w:pStyle w:val="ListParagraph"/>
        <w:numPr>
          <w:ilvl w:val="0"/>
          <w:numId w:val="18"/>
        </w:numPr>
        <w:spacing w:line="276" w:lineRule="auto"/>
        <w:ind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</w:rPr>
      </w:pP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많은</w:t>
      </w:r>
      <w:proofErr w:type="spellEnd"/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국제</w:t>
      </w:r>
      <w:proofErr w:type="spellEnd"/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표준</w:t>
      </w:r>
      <w:proofErr w:type="spellEnd"/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준</w:t>
      </w: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수</w:t>
      </w:r>
    </w:p>
    <w:p w14:paraId="1931E8AF" w14:textId="735C6728" w:rsidR="00135583" w:rsidRPr="00D7615C" w:rsidRDefault="00135583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고품질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세포독성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ISO 10993-5, GB/T 16886.5, EU No. 10/2011, GB4806, FDA CFR 21, REACH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RoHS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국제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표준을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준수합니다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177B1241" w14:textId="57A7BA9C" w:rsidR="00C163EB" w:rsidRPr="00D7615C" w:rsidRDefault="00135583" w:rsidP="00572E61">
      <w:pPr>
        <w:pStyle w:val="ListParagraph"/>
        <w:numPr>
          <w:ilvl w:val="0"/>
          <w:numId w:val="18"/>
        </w:numPr>
        <w:spacing w:line="276" w:lineRule="auto"/>
        <w:ind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</w:rPr>
      </w:pP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우수한 속성</w:t>
      </w:r>
    </w:p>
    <w:p w14:paraId="47BCEEAC" w14:textId="1F6CBFBF" w:rsidR="00135583" w:rsidRPr="00D7615C" w:rsidRDefault="00135583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lastRenderedPageBreak/>
        <w:t>이 컴파운드 시리즈의 장점들 중에서도,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THERMOLAST</w:t>
      </w:r>
      <w:r w:rsidRPr="00D7615C">
        <w:rPr>
          <w:rFonts w:ascii="NanumGothic" w:eastAsia="NanumGothic" w:hAnsi="NanumGothic" w:cs="Calibri"/>
          <w:sz w:val="20"/>
          <w:szCs w:val="20"/>
          <w:lang w:eastAsia="ko-KR"/>
        </w:rPr>
        <w:t>®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H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PP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에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우수한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접착력을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또한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부드러운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터치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표면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느낌의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우수한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촉각을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제공하여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목발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휠체어 손잡이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무릎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관절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보호대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발목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보호대용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내부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패딩과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어플리케이션에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이상적입니다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3A726ADE" w14:textId="1B7BD300" w:rsidR="00C163EB" w:rsidRPr="00D7615C" w:rsidRDefault="00C163EB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</w:p>
    <w:p w14:paraId="40CED94E" w14:textId="6774072E" w:rsidR="00501EEA" w:rsidRPr="00D7615C" w:rsidRDefault="00501EEA" w:rsidP="00CB799D">
      <w:pPr>
        <w:pStyle w:val="ListParagraph"/>
        <w:numPr>
          <w:ilvl w:val="0"/>
          <w:numId w:val="18"/>
        </w:numPr>
        <w:spacing w:line="276" w:lineRule="auto"/>
        <w:ind w:right="1984"/>
        <w:jc w:val="both"/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b/>
          <w:sz w:val="20"/>
          <w:szCs w:val="20"/>
          <w:lang w:eastAsia="ko-KR"/>
        </w:rPr>
        <w:t xml:space="preserve">의료 기기의 가공 용이성 및 멸균 가능한 </w:t>
      </w:r>
      <w:r w:rsidRPr="00D7615C">
        <w:rPr>
          <w:rFonts w:ascii="NanumGothic" w:eastAsia="NanumGothic" w:hAnsi="NanumGothic" w:cs="Malgun Gothic Semilight"/>
          <w:b/>
          <w:sz w:val="20"/>
          <w:szCs w:val="20"/>
          <w:lang w:eastAsia="ko-KR"/>
        </w:rPr>
        <w:t>TPE</w:t>
      </w:r>
      <w:r w:rsidR="00C163EB" w:rsidRPr="00D7615C">
        <w:rPr>
          <w:rFonts w:ascii="NanumGothic" w:eastAsia="NanumGothic" w:hAnsi="NanumGothic" w:cs="Malgun Gothic Semilight"/>
          <w:b/>
          <w:sz w:val="20"/>
          <w:szCs w:val="20"/>
        </w:rPr>
        <w:br/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사출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성형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압출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공정을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위한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용도별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맞춤형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TPE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재료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제조를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전문으로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하는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KRAIBURG TPE(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크라이버그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티피이)는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정형외과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장비가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사용하기에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안전하고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위생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기준을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충족하도록 보장합니다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.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따라서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THERMOLAST</w:t>
      </w:r>
      <w:r w:rsidRPr="00D7615C">
        <w:rPr>
          <w:rFonts w:ascii="NanumGothic" w:eastAsia="NanumGothic" w:hAnsi="NanumGothic" w:cs="Calibri"/>
          <w:bCs/>
          <w:sz w:val="20"/>
          <w:szCs w:val="20"/>
          <w:lang w:eastAsia="ko-KR"/>
        </w:rPr>
        <w:t>®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H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화합물은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121°C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proofErr w:type="spellStart"/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>EtO</w:t>
      </w:r>
      <w:proofErr w:type="spellEnd"/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에서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오토클레이브로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멸균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가능합니다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>.</w:t>
      </w:r>
    </w:p>
    <w:p w14:paraId="76790F4F" w14:textId="77777777" w:rsidR="007F2C2B" w:rsidRPr="00D7615C" w:rsidRDefault="007F2C2B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</w:p>
    <w:p w14:paraId="15CEFD0F" w14:textId="4063DC5A" w:rsidR="00501EEA" w:rsidRPr="00D7615C" w:rsidRDefault="00501EEA" w:rsidP="00572E61">
      <w:pPr>
        <w:pStyle w:val="ListParagraph"/>
        <w:numPr>
          <w:ilvl w:val="0"/>
          <w:numId w:val="18"/>
        </w:numPr>
        <w:spacing w:line="276" w:lineRule="auto"/>
        <w:ind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동물성분</w:t>
      </w:r>
      <w:r w:rsidRPr="00D7615C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유해</w:t>
      </w:r>
      <w:r w:rsidRPr="00D7615C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성분</w:t>
      </w:r>
      <w:r w:rsidRPr="00D7615C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="007F2C2B"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없음</w:t>
      </w:r>
    </w:p>
    <w:p w14:paraId="3780C708" w14:textId="391AB1A6" w:rsidR="007F2C2B" w:rsidRPr="00D7615C" w:rsidRDefault="007F2C2B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라텍스가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알레르기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반응을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일으킬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수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있기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때문에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동물성분이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없는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이 컴파운드는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라텍스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PVC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소재의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사용을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대체할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수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있습니다</w:t>
      </w:r>
      <w:r w:rsidRPr="00D7615C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>.</w:t>
      </w:r>
    </w:p>
    <w:p w14:paraId="12FA7CCC" w14:textId="3D373198" w:rsidR="00D95D0D" w:rsidRPr="00D7615C" w:rsidRDefault="00D95D0D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22FE721" w14:textId="3EB52F6C" w:rsidR="00C163EB" w:rsidRPr="00D7615C" w:rsidRDefault="007F2C2B" w:rsidP="00572E61">
      <w:pPr>
        <w:pStyle w:val="ListParagraph"/>
        <w:numPr>
          <w:ilvl w:val="0"/>
          <w:numId w:val="18"/>
        </w:numPr>
        <w:spacing w:line="276" w:lineRule="auto"/>
        <w:ind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</w:rPr>
      </w:pP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우수한</w:t>
      </w:r>
      <w:proofErr w:type="spellEnd"/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접착</w:t>
      </w:r>
      <w:proofErr w:type="spellEnd"/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및</w:t>
      </w:r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밀봉</w:t>
      </w:r>
      <w:proofErr w:type="spellEnd"/>
      <w:r w:rsidR="0037351B"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 xml:space="preserve"> 성능</w:t>
      </w:r>
    </w:p>
    <w:p w14:paraId="38805B4B" w14:textId="3BF7C921" w:rsidR="00C163EB" w:rsidRPr="00D7615C" w:rsidRDefault="007F2C2B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D7615C">
        <w:rPr>
          <w:rFonts w:ascii="NanumGothic" w:eastAsia="NanumGothic" w:hAnsi="NanumGothic" w:cs="Malgun Gothic Semilight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KRAIBURG </w:t>
      </w:r>
      <w:proofErr w:type="gramStart"/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TPE(</w:t>
      </w:r>
      <w:proofErr w:type="gramEnd"/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 티피이)의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비용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효율적이며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우수한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밀봉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접착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성능을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32C2C2D1" w14:textId="2F3B12FB" w:rsidR="00C163EB" w:rsidRPr="00D7615C" w:rsidRDefault="00C163EB" w:rsidP="00572E61">
      <w:pPr>
        <w:pStyle w:val="ListParagraph"/>
        <w:spacing w:line="276" w:lineRule="auto"/>
        <w:ind w:right="1984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4B8A011" w14:textId="4FB4C51E" w:rsidR="00C163EB" w:rsidRPr="00D7615C" w:rsidRDefault="007F2C2B" w:rsidP="00572E61">
      <w:pPr>
        <w:pStyle w:val="ListParagraph"/>
        <w:numPr>
          <w:ilvl w:val="0"/>
          <w:numId w:val="19"/>
        </w:numPr>
        <w:spacing w:line="276" w:lineRule="auto"/>
        <w:ind w:left="709" w:right="1984"/>
        <w:jc w:val="both"/>
        <w:rPr>
          <w:rFonts w:ascii="NanumGothic" w:eastAsia="NanumGothic" w:hAnsi="NanumGothic" w:cs="Malgun Gothic Semilight"/>
          <w:b/>
          <w:bCs/>
          <w:sz w:val="20"/>
          <w:szCs w:val="20"/>
        </w:rPr>
      </w:pP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색상</w:t>
      </w:r>
      <w:proofErr w:type="spellEnd"/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및</w:t>
      </w:r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디자인</w:t>
      </w:r>
      <w:proofErr w:type="spellEnd"/>
      <w:r w:rsidRPr="00D7615C">
        <w:rPr>
          <w:rFonts w:ascii="NanumGothic" w:eastAsia="NanumGothic" w:hAnsi="NanumGothic" w:cs="Malgun Gothic Semilight"/>
          <w:b/>
          <w:bCs/>
          <w:sz w:val="20"/>
          <w:szCs w:val="20"/>
        </w:rPr>
        <w:t xml:space="preserve"> </w:t>
      </w:r>
      <w:proofErr w:type="spellStart"/>
      <w:r w:rsidRPr="00D7615C">
        <w:rPr>
          <w:rFonts w:ascii="NanumGothic" w:eastAsia="NanumGothic" w:hAnsi="NanumGothic" w:cs="Malgun Gothic Semilight" w:hint="eastAsia"/>
          <w:b/>
          <w:bCs/>
          <w:sz w:val="20"/>
          <w:szCs w:val="20"/>
        </w:rPr>
        <w:t>유연성</w:t>
      </w:r>
      <w:proofErr w:type="spellEnd"/>
    </w:p>
    <w:p w14:paraId="22AB9A8F" w14:textId="5CB33012" w:rsidR="00C163EB" w:rsidRPr="00057590" w:rsidRDefault="0037351B" w:rsidP="00572E61">
      <w:pPr>
        <w:spacing w:after="0"/>
        <w:ind w:left="709" w:right="1984"/>
        <w:jc w:val="both"/>
        <w:rPr>
          <w:rFonts w:ascii="NanumGothic" w:eastAsia="NanumGothic" w:hAnsi="NanumGothic" w:cs="Malgun Gothic Semilight"/>
          <w:sz w:val="16"/>
          <w:szCs w:val="16"/>
          <w:lang w:eastAsia="ko-KR"/>
        </w:rPr>
      </w:pP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THERMOLAST</w:t>
      </w:r>
      <w:r w:rsidRPr="00D7615C">
        <w:rPr>
          <w:rFonts w:ascii="NanumGothic" w:eastAsia="NanumGothic" w:hAnsi="NanumGothic" w:cs="Calibri"/>
          <w:sz w:val="20"/>
          <w:szCs w:val="20"/>
          <w:lang w:eastAsia="ko-KR"/>
        </w:rPr>
        <w:t>®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H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반투명으로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제공되며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특정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프로젝트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요구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사항에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따라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공장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착색도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가능합니다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정형외과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장비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설계자는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시리즈가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설계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유연성과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적용성으로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인해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다른 재료에 비해 장점이 많다는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것을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알게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될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D7615C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것입니다</w:t>
      </w:r>
      <w:r w:rsidRPr="00D7615C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1CE3B432" w14:textId="77777777" w:rsidR="00D95D0D" w:rsidRPr="00057590" w:rsidRDefault="00D95D0D" w:rsidP="00572E61">
      <w:pPr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</w:p>
    <w:p w14:paraId="5BA2A4BC" w14:textId="77777777" w:rsidR="00057590" w:rsidRDefault="00057590" w:rsidP="00572E61">
      <w:pPr>
        <w:ind w:right="1559"/>
        <w:jc w:val="both"/>
        <w:rPr>
          <w:rFonts w:ascii="NanumGothic" w:eastAsia="NanumGothic" w:hAnsi="NanumGothic" w:cs="Malgun Gothic Semilight"/>
          <w:lang w:eastAsia="ko-KR"/>
        </w:rPr>
      </w:pPr>
    </w:p>
    <w:p w14:paraId="745E82F5" w14:textId="77777777" w:rsidR="00057590" w:rsidRDefault="00057590" w:rsidP="00572E61">
      <w:pPr>
        <w:ind w:right="1559"/>
        <w:jc w:val="both"/>
        <w:rPr>
          <w:rFonts w:ascii="NanumGothic" w:eastAsia="NanumGothic" w:hAnsi="NanumGothic" w:cs="Malgun Gothic Semilight"/>
          <w:lang w:eastAsia="ko-KR"/>
        </w:rPr>
      </w:pPr>
    </w:p>
    <w:p w14:paraId="2638F268" w14:textId="0996AC59" w:rsidR="0037351B" w:rsidRPr="00057590" w:rsidRDefault="0037351B" w:rsidP="00572E61">
      <w:pPr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057590">
        <w:rPr>
          <w:rFonts w:ascii="NanumGothic" w:eastAsia="NanumGothic" w:hAnsi="NanumGothic" w:cs="Malgun Gothic Semilight"/>
          <w:lang w:eastAsia="ko-KR"/>
        </w:rPr>
        <w:lastRenderedPageBreak/>
        <w:t xml:space="preserve"> </w:t>
      </w:r>
      <w:r w:rsidRPr="00057590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>TPE</w:t>
      </w:r>
      <w:r w:rsidRPr="00057590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의</w:t>
      </w:r>
      <w:r w:rsidRPr="00057590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지속</w:t>
      </w:r>
      <w:r w:rsidRPr="00057590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가능성</w:t>
      </w:r>
    </w:p>
    <w:p w14:paraId="7DFF8426" w14:textId="2DC80761" w:rsidR="0037351B" w:rsidRPr="00057590" w:rsidRDefault="0037351B" w:rsidP="00572E61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정형외과 장비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재료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외에도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KRAIBURG TPE(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 티피이)의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최근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가능성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혁신에는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자동차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소비자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어플리케이션을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위해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특별히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개발된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재료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솔루션이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포함됩니다.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 솔루션은 사후 소비자 재활용(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PCR)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 사후 산업 재활용(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PIR)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내용으로 구성되어 있습니다.</w:t>
      </w:r>
    </w:p>
    <w:p w14:paraId="4E7D94C6" w14:textId="6DCFD13A" w:rsidR="0037351B" w:rsidRPr="00057590" w:rsidRDefault="0037351B" w:rsidP="00572E61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Malgun Gothic Semilight"/>
          <w:sz w:val="20"/>
          <w:szCs w:val="20"/>
          <w:u w:val="single"/>
          <w:lang w:val="en-MY" w:eastAsia="ko-KR"/>
        </w:rPr>
      </w:pP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지속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가능한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TPE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솔루션을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찾고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계십니까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?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u w:val="single"/>
          <w:lang w:val="en-MY" w:eastAsia="ko-KR"/>
        </w:rPr>
        <w:t>당사에 문의하십시오</w:t>
      </w:r>
      <w:r w:rsidRPr="00057590">
        <w:rPr>
          <w:rFonts w:ascii="NanumGothic" w:eastAsia="NanumGothic" w:hAnsi="NanumGothic" w:cs="Malgun Gothic Semilight"/>
          <w:sz w:val="20"/>
          <w:szCs w:val="20"/>
          <w:u w:val="single"/>
          <w:lang w:val="en-MY" w:eastAsia="ko-KR"/>
        </w:rPr>
        <w:t>!</w:t>
      </w:r>
    </w:p>
    <w:p w14:paraId="30512E4A" w14:textId="56DE3D25" w:rsidR="00133C79" w:rsidRPr="00057590" w:rsidRDefault="0037351B" w:rsidP="00572E61">
      <w:pPr>
        <w:tabs>
          <w:tab w:val="left" w:pos="6663"/>
          <w:tab w:val="left" w:pos="6804"/>
        </w:tabs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val="en-MY" w:eastAsia="ko-KR"/>
        </w:rPr>
      </w:pP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당사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전문가가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귀하의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질문에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기꺼이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답변하고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귀하의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어플리케이션에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적합한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솔루션을</w:t>
      </w:r>
      <w:r w:rsidRPr="00057590">
        <w:rPr>
          <w:rFonts w:ascii="NanumGothic" w:eastAsia="NanumGothic" w:hAnsi="NanumGothic" w:cs="Malgun Gothic Semilight"/>
          <w:sz w:val="20"/>
          <w:szCs w:val="20"/>
          <w:lang w:val="en-MY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val="en-MY" w:eastAsia="ko-KR"/>
        </w:rPr>
        <w:t>제공할 것입니다.</w:t>
      </w:r>
    </w:p>
    <w:p w14:paraId="41B6237B" w14:textId="36152F9C" w:rsidR="00703EB3" w:rsidRPr="00057590" w:rsidRDefault="00703EB3" w:rsidP="00572E61">
      <w:pPr>
        <w:spacing w:after="0"/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057590">
        <w:rPr>
          <w:rFonts w:ascii="NanumGothic" w:eastAsia="NanumGothic" w:hAnsi="NanumGothic" w:cs="Malgun Gothic Semilight"/>
          <w:b/>
          <w:bCs/>
          <w:noProof/>
          <w:sz w:val="20"/>
          <w:szCs w:val="20"/>
          <w:lang w:eastAsia="ko-KR"/>
        </w:rPr>
        <w:drawing>
          <wp:inline distT="0" distB="0" distL="0" distR="0" wp14:anchorId="5E0543FB" wp14:editId="00E588F3">
            <wp:extent cx="4329113" cy="2886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468" cy="2888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1C22C" w14:textId="2435DEEE" w:rsidR="00572E61" w:rsidRPr="00057590" w:rsidRDefault="00572E61" w:rsidP="00572E61">
      <w:pPr>
        <w:spacing w:after="0"/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057590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>(</w:t>
      </w:r>
      <w:r w:rsidRPr="00057590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사진</w:t>
      </w:r>
      <w:r w:rsidRPr="00057590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: </w:t>
      </w:r>
      <w:r w:rsidRPr="00057590">
        <w:rPr>
          <w:rFonts w:ascii="NanumGothic" w:eastAsia="NanumGothic" w:hAnsi="NanumGothic" w:cs="Calibri"/>
          <w:b/>
          <w:bCs/>
          <w:sz w:val="20"/>
          <w:szCs w:val="20"/>
          <w:lang w:eastAsia="ko-KR"/>
        </w:rPr>
        <w:t>©</w:t>
      </w:r>
      <w:r w:rsidRPr="00057590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2022 KRAIBURG TPE)</w:t>
      </w:r>
    </w:p>
    <w:p w14:paraId="6588D228" w14:textId="5746CB3A" w:rsidR="00EC7126" w:rsidRPr="00057590" w:rsidRDefault="00572E61" w:rsidP="00572E61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고해상도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사진은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Bridget Ngang(</w:t>
      </w:r>
      <w:r w:rsidRPr="00057590">
        <w:rPr>
          <w:rFonts w:ascii="NanumGothic" w:eastAsia="NanumGothic" w:hAnsi="NanumGothic" w:cs="Malgun Gothic Semilight"/>
          <w:sz w:val="20"/>
          <w:szCs w:val="20"/>
          <w:u w:val="single"/>
          <w:lang w:eastAsia="ko-KR"/>
        </w:rPr>
        <w:t>bridget.ngang@kraiburg-tpe.com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>, +6 03 9545 6301)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에게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문의하십시오</w:t>
      </w:r>
      <w:r w:rsidRPr="00057590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053987E0" w14:textId="77777777" w:rsidR="00EC7126" w:rsidRPr="00057590" w:rsidRDefault="00EC7126" w:rsidP="00572E61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9B18251" w14:textId="77777777" w:rsidR="004562AC" w:rsidRPr="00057590" w:rsidRDefault="004562AC" w:rsidP="00572E61">
      <w:pPr>
        <w:spacing w:after="0"/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</w:p>
    <w:p w14:paraId="354AFA3B" w14:textId="72E7BEBF" w:rsidR="009D2688" w:rsidRPr="00057590" w:rsidRDefault="00572E61" w:rsidP="00572E61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057590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lastRenderedPageBreak/>
        <w:t>언론인을</w:t>
      </w:r>
      <w:r w:rsidRPr="00057590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위한</w:t>
      </w:r>
      <w:r w:rsidRPr="00057590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 xml:space="preserve"> </w:t>
      </w:r>
      <w:r w:rsidRPr="00057590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정보</w:t>
      </w:r>
      <w:r w:rsidR="009D2688"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590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>:</w:t>
      </w:r>
    </w:p>
    <w:p w14:paraId="186E82FA" w14:textId="25C4E114" w:rsidR="009D2688" w:rsidRPr="00057590" w:rsidRDefault="00572E61" w:rsidP="00572E61">
      <w:pPr>
        <w:ind w:right="1559"/>
        <w:rPr>
          <w:rFonts w:ascii="NanumGothic" w:eastAsia="NanumGothic" w:hAnsi="NanumGothic" w:cs="Malgun Gothic Semilight"/>
          <w:bCs/>
          <w:sz w:val="21"/>
          <w:szCs w:val="21"/>
          <w:lang w:val="en-GB" w:eastAsia="ko-KR"/>
        </w:rPr>
      </w:pPr>
      <w:r w:rsidRPr="00057590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고해상도</w:t>
      </w:r>
      <w:r w:rsidRPr="00057590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57590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이미지</w:t>
      </w:r>
      <w:r w:rsidRPr="00057590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57590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057590" w:rsidRDefault="009D2688" w:rsidP="00572E61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057590">
        <w:rPr>
          <w:rFonts w:ascii="NanumGothic" w:eastAsia="NanumGothic" w:hAnsi="NanumGothic" w:cs="Malgun Gothic Semilight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29186264" w:rsidR="009D2688" w:rsidRPr="00057590" w:rsidRDefault="00572E61" w:rsidP="00572E61">
      <w:pPr>
        <w:ind w:right="1559"/>
        <w:rPr>
          <w:rFonts w:ascii="NanumGothic" w:eastAsia="NanumGothic" w:hAnsi="NanumGothic" w:cs="Malgun Gothic Semilight"/>
          <w:bCs/>
          <w:sz w:val="21"/>
          <w:szCs w:val="21"/>
          <w:lang w:val="en-GB" w:eastAsia="ko-KR"/>
        </w:rPr>
      </w:pPr>
      <w:r w:rsidRPr="00057590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KRAIBURG </w:t>
      </w:r>
      <w:proofErr w:type="gramStart"/>
      <w:r w:rsidRPr="00057590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>TPE(</w:t>
      </w:r>
      <w:proofErr w:type="gramEnd"/>
      <w:r w:rsidRPr="00057590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크라이버그 티피이)의</w:t>
      </w:r>
      <w:r w:rsidRPr="00057590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57590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최신</w:t>
      </w:r>
      <w:r w:rsidRPr="00057590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057590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Pr="00057590" w:rsidRDefault="009D2688" w:rsidP="00572E61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</w:p>
    <w:p w14:paraId="020DD930" w14:textId="5BC26B08" w:rsidR="009D2688" w:rsidRPr="00057590" w:rsidRDefault="00572E61" w:rsidP="00572E61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057590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057590" w:rsidRDefault="009D2688" w:rsidP="00572E61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</w:t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  </w:t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   </w:t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</w:t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057590">
        <w:rPr>
          <w:rFonts w:ascii="NanumGothic" w:eastAsia="NanumGothic" w:hAnsi="NanumGothic" w:cs="Malgun Gothic Semilight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2439CE54" w:rsidR="009D2688" w:rsidRPr="00057590" w:rsidRDefault="00572E61" w:rsidP="00572E61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  <w:r w:rsidRPr="00057590">
        <w:rPr>
          <w:rFonts w:ascii="NanumGothic" w:eastAsia="NanumGothic" w:hAnsi="NanumGothic" w:cs="Malgun Gothic Semilight" w:hint="eastAsia"/>
          <w:b/>
          <w:sz w:val="21"/>
          <w:szCs w:val="21"/>
          <w:lang w:val="en-MY" w:eastAsia="ko-KR"/>
        </w:rPr>
        <w:t>위쳇에서 팔로우 하세요</w:t>
      </w:r>
    </w:p>
    <w:p w14:paraId="4630E342" w14:textId="77777777" w:rsidR="009D2688" w:rsidRPr="00057590" w:rsidRDefault="009D2688" w:rsidP="00572E61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/>
        </w:rPr>
      </w:pPr>
      <w:r w:rsidRPr="00057590">
        <w:rPr>
          <w:rFonts w:ascii="NanumGothic" w:eastAsia="NanumGothic" w:hAnsi="NanumGothic" w:cs="Malgun Gothic Semilight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915392" w14:textId="745C13DE" w:rsidR="001C2242" w:rsidRPr="00057590" w:rsidRDefault="00057590" w:rsidP="00057590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4E71A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4E71A7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>. 1947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4E71A7">
        <w:rPr>
          <w:rFonts w:ascii="Arial" w:eastAsia="NanumGothic" w:hAnsi="Arial" w:cs="Arial"/>
          <w:bCs/>
          <w:sz w:val="20"/>
          <w:lang w:val="en-GB" w:eastAsia="ko-KR"/>
        </w:rPr>
        <w:t>TPE(</w:t>
      </w:r>
      <w:proofErr w:type="gramEnd"/>
      <w:r w:rsidRPr="004E71A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4E71A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lastRenderedPageBreak/>
        <w:t>시장에서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>, COPEC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>, HIPEX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4E71A7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4E71A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KRAIBURG </w:t>
      </w:r>
      <w:proofErr w:type="gramStart"/>
      <w:r w:rsidRPr="004E71A7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4E71A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>. 20</w:t>
      </w:r>
      <w:r w:rsidRPr="004E71A7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4E71A7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4E71A7">
        <w:rPr>
          <w:rFonts w:ascii="Arial" w:eastAsia="NanumGothic" w:hAnsi="Arial" w:cs="Arial"/>
          <w:bCs/>
          <w:sz w:val="20"/>
          <w:lang w:eastAsia="ko-KR"/>
        </w:rPr>
        <w:t>00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</w:p>
    <w:p w14:paraId="62CC9A54" w14:textId="77777777" w:rsidR="001C2242" w:rsidRPr="00057590" w:rsidRDefault="001C2242" w:rsidP="00572E61">
      <w:pPr>
        <w:spacing w:after="0"/>
        <w:ind w:right="1559"/>
        <w:rPr>
          <w:rFonts w:ascii="NanumGothic" w:eastAsia="NanumGothic" w:hAnsi="NanumGothic" w:cs="Malgun Gothic Semilight"/>
          <w:sz w:val="20"/>
          <w:szCs w:val="20"/>
        </w:rPr>
      </w:pPr>
    </w:p>
    <w:p w14:paraId="4837FE41" w14:textId="77777777" w:rsidR="00DC32CA" w:rsidRPr="00057590" w:rsidRDefault="00DC32CA" w:rsidP="00572E61">
      <w:pPr>
        <w:keepNext/>
        <w:keepLines/>
        <w:spacing w:after="0"/>
        <w:ind w:right="1559"/>
        <w:rPr>
          <w:rFonts w:ascii="NanumGothic" w:eastAsia="NanumGothic" w:hAnsi="NanumGothic" w:cs="Malgun Gothic Semilight"/>
          <w:sz w:val="20"/>
        </w:rPr>
      </w:pPr>
    </w:p>
    <w:sectPr w:rsidR="00DC32CA" w:rsidRPr="00057590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4A4D4" w14:textId="77777777" w:rsidR="00DC3A53" w:rsidRDefault="00DC3A53" w:rsidP="00784C57">
      <w:pPr>
        <w:spacing w:after="0" w:line="240" w:lineRule="auto"/>
      </w:pPr>
      <w:r>
        <w:separator/>
      </w:r>
    </w:p>
  </w:endnote>
  <w:endnote w:type="continuationSeparator" w:id="0">
    <w:p w14:paraId="0EAB31C3" w14:textId="77777777" w:rsidR="00DC3A53" w:rsidRDefault="00DC3A5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2029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2029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325E2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325E2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C538" w14:textId="77777777" w:rsidR="00DC3A53" w:rsidRDefault="00DC3A53" w:rsidP="00784C57">
      <w:pPr>
        <w:spacing w:after="0" w:line="240" w:lineRule="auto"/>
      </w:pPr>
      <w:r>
        <w:separator/>
      </w:r>
    </w:p>
  </w:footnote>
  <w:footnote w:type="continuationSeparator" w:id="0">
    <w:p w14:paraId="6D98A0D1" w14:textId="77777777" w:rsidR="00DC3A53" w:rsidRDefault="00DC3A5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0EC5431D" w:rsidR="00D95D0D" w:rsidRPr="00057590" w:rsidRDefault="00572E61" w:rsidP="00572E61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57590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C8C4A49" w14:textId="59F11652" w:rsidR="00CE198F" w:rsidRPr="00057590" w:rsidRDefault="00CE198F" w:rsidP="00572E61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</w:pP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정형외과</w:t>
          </w:r>
          <w:r w:rsidRPr="0005759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장비에</w:t>
          </w:r>
          <w:r w:rsidRPr="0005759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 KRAIBURG TPE(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57590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티피이</w:t>
          </w:r>
          <w:r w:rsidRPr="00057590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05759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소재를</w:t>
          </w:r>
          <w:r w:rsidRPr="0005759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선택해야</w:t>
          </w:r>
          <w:r w:rsidRPr="0005759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하는</w:t>
          </w:r>
          <w:r w:rsidRPr="0005759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 7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가지</w:t>
          </w:r>
          <w:r w:rsidRPr="0005759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이유</w:t>
          </w:r>
        </w:p>
        <w:p w14:paraId="5BED64C0" w14:textId="1D0A9296" w:rsidR="00D95D0D" w:rsidRPr="00057590" w:rsidRDefault="00D95D0D" w:rsidP="00572E61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val="de-DE" w:eastAsia="ko-KR"/>
            </w:rPr>
          </w:pPr>
        </w:p>
        <w:p w14:paraId="3D3F1049" w14:textId="0F29C88B" w:rsidR="00D95D0D" w:rsidRPr="00572E61" w:rsidRDefault="00D95D0D" w:rsidP="00572E61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2022</w:t>
          </w:r>
          <w:r w:rsidR="002521D2" w:rsidRPr="00572E61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2521D2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6</w:t>
          </w:r>
          <w:r w:rsidR="002521D2" w:rsidRPr="00572E61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="002521D2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2521D2" w:rsidRPr="00572E61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3DFC1DCF" w:rsidR="00502615" w:rsidRPr="00073D11" w:rsidRDefault="002521D2" w:rsidP="00572E61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72E61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>1</w: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6E3062F0" w:rsidR="002B7CE1" w:rsidRPr="00572E61" w:rsidRDefault="00572E61" w:rsidP="00572E61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00848232"/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21B2AEFB" w14:textId="77777777" w:rsidR="00CE198F" w:rsidRPr="00572E61" w:rsidRDefault="00CE198F" w:rsidP="00572E61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</w:pP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정형외과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장비에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KRAIBURG TPE(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소재를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선택해야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하는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7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가지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 w:hint="eastAsia"/>
              <w:b/>
              <w:bCs/>
              <w:sz w:val="16"/>
              <w:szCs w:val="16"/>
              <w:lang w:eastAsia="ko-KR"/>
            </w:rPr>
            <w:t>이유</w:t>
          </w:r>
        </w:p>
        <w:p w14:paraId="765F9503" w14:textId="76E3F173" w:rsidR="003C4170" w:rsidRPr="00572E61" w:rsidRDefault="001F4135" w:rsidP="00572E61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</w:pPr>
          <w:r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</w:t>
          </w:r>
          <w:r w:rsidR="00923B42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</w:t>
          </w:r>
          <w:r w:rsidR="00CE198F" w:rsidRPr="00572E61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CE198F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6</w:t>
          </w:r>
          <w:r w:rsidR="00CE198F" w:rsidRPr="00572E61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 쿠알라룸푸르</w:t>
          </w:r>
        </w:p>
        <w:p w14:paraId="4BE48C59" w14:textId="08D8C76B" w:rsidR="003C4170" w:rsidRPr="00073D11" w:rsidRDefault="00CE198F" w:rsidP="00572E61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72E61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C37354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C37354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572E61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29A"/>
    <w:rsid w:val="00041B77"/>
    <w:rsid w:val="0004695A"/>
    <w:rsid w:val="00047CA0"/>
    <w:rsid w:val="00055A30"/>
    <w:rsid w:val="0005759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35583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21D2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7351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1EEA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E61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3EB3"/>
    <w:rsid w:val="007144EB"/>
    <w:rsid w:val="0071575E"/>
    <w:rsid w:val="00721D5E"/>
    <w:rsid w:val="007228C7"/>
    <w:rsid w:val="00722F2A"/>
    <w:rsid w:val="00723A37"/>
    <w:rsid w:val="00726D03"/>
    <w:rsid w:val="007325E2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2C2B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231F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2B2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B799D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198F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25F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7615C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3A53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dcmitype/"/>
    <ds:schemaRef ds:uri="http://www.w3.org/XML/1998/namespace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411</Words>
  <Characters>2344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2022-06-03T00:30:00Z</dcterms:created>
  <dcterms:modified xsi:type="dcterms:W3CDTF">2022-06-13T03:35:00Z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