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37606" w14:textId="37046D13" w:rsidR="00461B03" w:rsidRDefault="00461B03" w:rsidP="008151E1">
      <w:pPr>
        <w:keepLines/>
        <w:spacing w:after="0" w:line="360" w:lineRule="auto"/>
        <w:ind w:right="1701"/>
        <w:jc w:val="both"/>
        <w:rPr>
          <w:rFonts w:ascii="Arial" w:hAnsi="Arial"/>
          <w:bCs/>
          <w:sz w:val="20"/>
          <w:szCs w:val="20"/>
        </w:rPr>
      </w:pPr>
      <w:r>
        <w:rPr>
          <w:rFonts w:ascii="Arial" w:hAnsi="Arial"/>
          <w:sz w:val="20"/>
        </w:rPr>
        <w:t>Prohibido no tocar: nuevos compuestos de KRAIBURG TPE</w:t>
      </w:r>
    </w:p>
    <w:p w14:paraId="05F62578" w14:textId="18EAD253" w:rsidR="008151E1" w:rsidRPr="005A141C" w:rsidRDefault="003463B5" w:rsidP="008151E1">
      <w:pPr>
        <w:keepLines/>
        <w:spacing w:after="0" w:line="360" w:lineRule="auto"/>
        <w:ind w:right="1701"/>
        <w:jc w:val="both"/>
        <w:rPr>
          <w:rFonts w:ascii="Arial" w:hAnsi="Arial"/>
          <w:b/>
          <w:sz w:val="20"/>
          <w:szCs w:val="20"/>
        </w:rPr>
      </w:pPr>
      <w:r>
        <w:rPr>
          <w:rFonts w:ascii="Arial" w:hAnsi="Arial"/>
          <w:b/>
          <w:sz w:val="20"/>
        </w:rPr>
        <w:t xml:space="preserve">Smooth Touch TPE para el envase y el diseño </w:t>
      </w:r>
    </w:p>
    <w:p w14:paraId="63361C94" w14:textId="77777777" w:rsidR="00716873" w:rsidRPr="002429F2" w:rsidRDefault="00716873" w:rsidP="008151E1">
      <w:pPr>
        <w:keepLines/>
        <w:spacing w:after="0" w:line="360" w:lineRule="auto"/>
        <w:ind w:right="1701"/>
        <w:jc w:val="both"/>
        <w:rPr>
          <w:rFonts w:ascii="Arial" w:hAnsi="Arial"/>
          <w:b/>
          <w:sz w:val="20"/>
          <w:szCs w:val="20"/>
        </w:rPr>
      </w:pPr>
    </w:p>
    <w:p w14:paraId="60FC36CC" w14:textId="571E00BD" w:rsidR="00716873" w:rsidRPr="003463B5" w:rsidRDefault="00F93825" w:rsidP="008151E1">
      <w:pPr>
        <w:keepLines/>
        <w:spacing w:after="0" w:line="360" w:lineRule="auto"/>
        <w:ind w:right="1701"/>
        <w:jc w:val="both"/>
        <w:rPr>
          <w:rFonts w:ascii="Arial" w:hAnsi="Arial"/>
          <w:b/>
          <w:sz w:val="20"/>
          <w:szCs w:val="20"/>
        </w:rPr>
      </w:pPr>
      <w:r>
        <w:rPr>
          <w:rFonts w:ascii="Arial" w:hAnsi="Arial"/>
          <w:b/>
          <w:sz w:val="20"/>
        </w:rPr>
        <w:t>Reducido, inteligente y de alta calidad: el mercado del envase y del diseño se está transformando. Hoy se requieren soluciones que acompañen a los fabricantes en su camino. Con una nueva serie de materiales, KRAIBURG TPE responde a esta necesidad: los TPE han sido perfeccionados para proporcionar las valiosas soluciones que exige el mercado. El resultado es una serie propia de productos, desarrollados especialmente para aquellas aplicaciones que apuntan a lograr una extraordinaria sensación táctil (y a un precio atractivo).</w:t>
      </w:r>
    </w:p>
    <w:p w14:paraId="7B0D3D32" w14:textId="77777777" w:rsidR="00F93825" w:rsidRPr="002429F2" w:rsidRDefault="00F93825" w:rsidP="008151E1">
      <w:pPr>
        <w:keepLines/>
        <w:spacing w:after="0" w:line="360" w:lineRule="auto"/>
        <w:ind w:right="1701"/>
        <w:jc w:val="both"/>
        <w:rPr>
          <w:rFonts w:ascii="Arial" w:hAnsi="Arial"/>
          <w:b/>
          <w:sz w:val="20"/>
          <w:szCs w:val="20"/>
          <w:lang w:val="it-IT"/>
        </w:rPr>
      </w:pPr>
    </w:p>
    <w:p w14:paraId="636D6EAA" w14:textId="40BB24C3" w:rsidR="00FA0186" w:rsidRPr="002460D8" w:rsidRDefault="00461B03" w:rsidP="008151E1">
      <w:pPr>
        <w:keepLines/>
        <w:spacing w:after="0" w:line="360" w:lineRule="auto"/>
        <w:ind w:right="1701"/>
        <w:jc w:val="both"/>
        <w:rPr>
          <w:rFonts w:ascii="Arial" w:hAnsi="Arial" w:cs="Arial"/>
          <w:bCs/>
          <w:sz w:val="20"/>
          <w:szCs w:val="20"/>
        </w:rPr>
      </w:pPr>
      <w:r>
        <w:rPr>
          <w:rFonts w:ascii="Arial" w:hAnsi="Arial"/>
          <w:sz w:val="20"/>
        </w:rPr>
        <w:t>Existe un cambio a escala mundial en la forma de pensar. La mentalidad de "menos es más" se ve impulsada, sobre todo, por decisiones de compra más conscientes y a más largo plazo. Los clientes, que prestan especial atención al desarrollo y al diseño, se comprometen así a emprender nuevos caminos. Ya sea que se trate de (parte de) un envase o de un componente o elemento de diseño propio, las exigencias impuestas a los plásticos van en aumento. Se demandan soluciones que impliquen una utilización eficiente de los recursos, con un valor añadido adicional y una excelente sensación táctil. Es por ello que KRAIBURG TPE ahora ofrece elastómeros termoplásticos (TPE) ideales para las aplicaciones que necesitan contar con una superficie de deslizamiento optimizado. Esto apunta claramente a los envases de productos cosméticos de alta calidad, pero también a complementos directos en artículos de consumo, como los que integran el sector de los electrodomésticos. Por otra parte, el hecho de que los Smooth Touch TPE cumplan las principales normativas establecidas en el ámbito de los alimentos facilita el lanzamiento de productos al mercado.</w:t>
      </w:r>
    </w:p>
    <w:p w14:paraId="453841F3" w14:textId="1A46EB76" w:rsidR="00EB5829" w:rsidRPr="002429F2" w:rsidRDefault="00EB5829" w:rsidP="008151E1">
      <w:pPr>
        <w:keepLines/>
        <w:spacing w:after="0" w:line="360" w:lineRule="auto"/>
        <w:ind w:right="1701"/>
        <w:jc w:val="both"/>
        <w:rPr>
          <w:rFonts w:ascii="Arial" w:hAnsi="Arial" w:cs="Arial"/>
          <w:bCs/>
          <w:sz w:val="20"/>
          <w:szCs w:val="20"/>
        </w:rPr>
      </w:pPr>
    </w:p>
    <w:p w14:paraId="180C27C1" w14:textId="1EF5A74E" w:rsidR="00696A39" w:rsidRDefault="00510CE3" w:rsidP="008151E1">
      <w:pPr>
        <w:keepLines/>
        <w:spacing w:after="0" w:line="360" w:lineRule="auto"/>
        <w:ind w:right="1701"/>
        <w:jc w:val="both"/>
        <w:rPr>
          <w:rFonts w:ascii="Arial" w:hAnsi="Arial" w:cs="Arial"/>
          <w:bCs/>
          <w:color w:val="000000"/>
          <w:sz w:val="20"/>
          <w:szCs w:val="20"/>
        </w:rPr>
      </w:pPr>
      <w:r>
        <w:rPr>
          <w:rFonts w:ascii="Arial" w:hAnsi="Arial"/>
          <w:sz w:val="20"/>
        </w:rPr>
        <w:lastRenderedPageBreak/>
        <w:t xml:space="preserve">Con la nueva serie, KRAIBURG TPE da un paso decisivo: sobre la base de fórmulas y experiencias provenientes del campo de la </w:t>
      </w:r>
      <w:r w:rsidR="000058D8">
        <w:rPr>
          <w:rFonts w:ascii="Arial" w:hAnsi="Arial"/>
          <w:sz w:val="20"/>
        </w:rPr>
        <w:t>Medicina</w:t>
      </w:r>
      <w:r>
        <w:rPr>
          <w:rFonts w:ascii="Arial" w:hAnsi="Arial"/>
          <w:sz w:val="20"/>
        </w:rPr>
        <w:t>, la serie fue desarrollada para satisfacer las exigencias y ofrecer un comportamiento excepcional en lo que respecta a la fricción. Por lo tanto, estos novedosos materiales constituyen una solución ideal para diversos sectores del mercado, que necesitan una superficie de deslizamiento optimizado y en los cuales el usuario final busca una sensación táctil inigualable. Asimismo, los productos de la serie se adhieren a las poliolefinas, como el polipropileno, y pueden desmoldearse con facilidad. Los compuestos no solo cumplen el reglamento relativo al registro, la evaluación, la autorización y la restricción de las sustancias y preparados químicos (REACH) y la directiva sobre restricciones a la utilización de determinadas sustancias peligrosas (RoHS), sino que además pueden realizarse en cualquier color según el deseo del cliente.</w:t>
      </w:r>
    </w:p>
    <w:p w14:paraId="1A8AF085" w14:textId="77777777" w:rsidR="00696A39" w:rsidRPr="002429F2" w:rsidRDefault="00696A39" w:rsidP="008151E1">
      <w:pPr>
        <w:keepLines/>
        <w:spacing w:after="0" w:line="360" w:lineRule="auto"/>
        <w:ind w:right="1701"/>
        <w:jc w:val="both"/>
        <w:rPr>
          <w:rFonts w:ascii="Arial" w:hAnsi="Arial" w:cs="Arial"/>
          <w:bCs/>
          <w:color w:val="000000"/>
          <w:sz w:val="20"/>
          <w:szCs w:val="20"/>
        </w:rPr>
      </w:pPr>
    </w:p>
    <w:p w14:paraId="22DF9B0C" w14:textId="211481FB" w:rsidR="002460D8" w:rsidRDefault="00EE16CF" w:rsidP="008151E1">
      <w:pPr>
        <w:keepLines/>
        <w:spacing w:after="0" w:line="360" w:lineRule="auto"/>
        <w:ind w:right="1701"/>
        <w:jc w:val="both"/>
        <w:rPr>
          <w:rFonts w:ascii="Arial" w:hAnsi="Arial" w:cs="Arial"/>
          <w:bCs/>
          <w:color w:val="000000"/>
          <w:sz w:val="20"/>
          <w:szCs w:val="20"/>
        </w:rPr>
      </w:pPr>
      <w:r>
        <w:rPr>
          <w:rFonts w:ascii="Arial" w:hAnsi="Arial"/>
          <w:color w:val="000000"/>
          <w:sz w:val="20"/>
        </w:rPr>
        <w:t xml:space="preserve">Otras ventajas de </w:t>
      </w:r>
      <w:proofErr w:type="spellStart"/>
      <w:r>
        <w:rPr>
          <w:rFonts w:ascii="Arial" w:hAnsi="Arial"/>
          <w:color w:val="000000"/>
          <w:sz w:val="20"/>
        </w:rPr>
        <w:t>Smooth</w:t>
      </w:r>
      <w:proofErr w:type="spellEnd"/>
      <w:r>
        <w:rPr>
          <w:rFonts w:ascii="Arial" w:hAnsi="Arial"/>
          <w:color w:val="000000"/>
          <w:sz w:val="20"/>
        </w:rPr>
        <w:t xml:space="preserve"> </w:t>
      </w:r>
      <w:proofErr w:type="spellStart"/>
      <w:r>
        <w:rPr>
          <w:rFonts w:ascii="Arial" w:hAnsi="Arial"/>
          <w:color w:val="000000"/>
          <w:sz w:val="20"/>
        </w:rPr>
        <w:t>Touch</w:t>
      </w:r>
      <w:proofErr w:type="spellEnd"/>
      <w:r>
        <w:rPr>
          <w:rFonts w:ascii="Arial" w:hAnsi="Arial"/>
          <w:color w:val="000000"/>
          <w:sz w:val="20"/>
        </w:rPr>
        <w:t xml:space="preserve"> TPE:</w:t>
      </w:r>
    </w:p>
    <w:p w14:paraId="7313F83D" w14:textId="77777777" w:rsidR="007A16C2" w:rsidRPr="002429F2" w:rsidRDefault="007A16C2" w:rsidP="008151E1">
      <w:pPr>
        <w:keepLines/>
        <w:spacing w:after="0" w:line="360" w:lineRule="auto"/>
        <w:ind w:right="1701"/>
        <w:jc w:val="both"/>
        <w:rPr>
          <w:rFonts w:ascii="Arial" w:hAnsi="Arial" w:cs="Arial"/>
          <w:bCs/>
          <w:sz w:val="20"/>
          <w:szCs w:val="20"/>
          <w:lang w:val="fr-FR"/>
        </w:rPr>
      </w:pPr>
    </w:p>
    <w:p w14:paraId="3461D419" w14:textId="07293CC8" w:rsidR="007403D7" w:rsidRPr="00A03DBF" w:rsidRDefault="00303E71" w:rsidP="007403D7">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Buenas propiedades mecánicas</w:t>
      </w:r>
    </w:p>
    <w:p w14:paraId="6AA557BA" w14:textId="667E29D3" w:rsidR="007403D7" w:rsidRPr="00A03DBF" w:rsidRDefault="00303E71" w:rsidP="007403D7">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 xml:space="preserve">Muy buen desempeño en materia de deformación permanente por compresión </w:t>
      </w:r>
    </w:p>
    <w:p w14:paraId="1A75F028" w14:textId="11176D74" w:rsidR="002460D8" w:rsidRPr="00A03DBF" w:rsidRDefault="00303E71" w:rsidP="002460D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 xml:space="preserve">Resistencia química </w:t>
      </w:r>
    </w:p>
    <w:p w14:paraId="2E9F1A65" w14:textId="73660596" w:rsidR="007403D7" w:rsidRPr="00A03DBF" w:rsidRDefault="007403D7" w:rsidP="002460D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Apto</w:t>
      </w:r>
      <w:r w:rsidR="00EF07DF">
        <w:rPr>
          <w:rFonts w:ascii="Arial" w:hAnsi="Arial"/>
          <w:sz w:val="20"/>
        </w:rPr>
        <w:t>s</w:t>
      </w:r>
      <w:r>
        <w:rPr>
          <w:rFonts w:ascii="Arial" w:hAnsi="Arial"/>
          <w:sz w:val="20"/>
        </w:rPr>
        <w:t xml:space="preserve"> para inyección multicomponente</w:t>
      </w:r>
    </w:p>
    <w:p w14:paraId="749093A1" w14:textId="77777777" w:rsidR="0037668F" w:rsidRPr="00A03DBF" w:rsidRDefault="003907F8" w:rsidP="003907F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 xml:space="preserve">Conformidad con el Reglamento (UE) 10/2011 </w:t>
      </w:r>
    </w:p>
    <w:p w14:paraId="0500D050" w14:textId="0A055B32" w:rsidR="003907F8" w:rsidRPr="00461B03" w:rsidRDefault="00A36E36" w:rsidP="003907F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Conformidad con la Resolución N</w:t>
      </w:r>
      <w:r>
        <w:rPr>
          <w:rFonts w:ascii="Arial" w:hAnsi="Arial"/>
          <w:sz w:val="20"/>
          <w:vertAlign w:val="superscript"/>
        </w:rPr>
        <w:t xml:space="preserve">o </w:t>
      </w:r>
      <w:r>
        <w:rPr>
          <w:rFonts w:ascii="Arial" w:hAnsi="Arial"/>
          <w:sz w:val="20"/>
        </w:rPr>
        <w:t>39/19 del Mercosur</w:t>
      </w:r>
    </w:p>
    <w:p w14:paraId="4FF73FFF" w14:textId="0B5D0368" w:rsidR="0037668F" w:rsidRPr="008D4CF9" w:rsidRDefault="00A36E36" w:rsidP="0037668F">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Conformidad con la norma china GB 4806-2016</w:t>
      </w:r>
    </w:p>
    <w:p w14:paraId="735424CA" w14:textId="386D9DE0" w:rsidR="003907F8" w:rsidRPr="008D4CF9" w:rsidRDefault="0037668F" w:rsidP="0037668F">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 xml:space="preserve">Conformidad con el título 21 del Código de Regulaciones Federales (CFR) de la Administración de Alimentos y Medicamentos de los Estados Unidos (FDA) </w:t>
      </w:r>
    </w:p>
    <w:p w14:paraId="48655B87" w14:textId="58D15FC6" w:rsidR="002460D8" w:rsidRPr="002F0C0F" w:rsidRDefault="002460D8" w:rsidP="00EE16CF">
      <w:pPr>
        <w:pStyle w:val="Listenabsatz"/>
        <w:keepLines/>
        <w:numPr>
          <w:ilvl w:val="0"/>
          <w:numId w:val="14"/>
        </w:numPr>
        <w:spacing w:line="360" w:lineRule="auto"/>
        <w:ind w:right="1701"/>
        <w:jc w:val="both"/>
        <w:rPr>
          <w:rFonts w:ascii="Arial" w:hAnsi="Arial"/>
          <w:bCs/>
          <w:sz w:val="20"/>
        </w:rPr>
      </w:pPr>
      <w:r>
        <w:rPr>
          <w:rFonts w:ascii="Arial" w:hAnsi="Arial"/>
          <w:sz w:val="20"/>
        </w:rPr>
        <w:t xml:space="preserve">Conformidad con la norma UNE-EN 71-3 </w:t>
      </w:r>
    </w:p>
    <w:p w14:paraId="62B357C6" w14:textId="77777777" w:rsidR="002460D8" w:rsidRPr="002460D8" w:rsidRDefault="002460D8" w:rsidP="002460D8">
      <w:pPr>
        <w:keepLines/>
        <w:spacing w:line="360" w:lineRule="auto"/>
        <w:ind w:right="1701"/>
        <w:jc w:val="both"/>
        <w:rPr>
          <w:rFonts w:ascii="Arial" w:hAnsi="Arial" w:cs="Arial"/>
          <w:bCs/>
          <w:color w:val="000000"/>
          <w:sz w:val="21"/>
          <w:szCs w:val="21"/>
          <w:lang w:val="de-DE"/>
        </w:rPr>
      </w:pPr>
    </w:p>
    <w:p w14:paraId="5C0BDAAC" w14:textId="51D20407" w:rsidR="00303E71" w:rsidRPr="005058E1" w:rsidRDefault="00303E71" w:rsidP="00303E71">
      <w:pPr>
        <w:keepLines/>
        <w:spacing w:line="360" w:lineRule="auto"/>
        <w:ind w:right="1701"/>
        <w:jc w:val="both"/>
        <w:rPr>
          <w:rFonts w:ascii="Arial" w:hAnsi="Arial" w:cs="Arial"/>
          <w:bCs/>
          <w:sz w:val="20"/>
        </w:rPr>
      </w:pPr>
      <w:r>
        <w:rPr>
          <w:rFonts w:ascii="Arial" w:hAnsi="Arial"/>
          <w:sz w:val="20"/>
        </w:rPr>
        <w:lastRenderedPageBreak/>
        <w:t>"Motivados por las exigencias sobre el diseño y el envase, con estos nuevos compuestos perfeccionados estamos muy bien preparados para afrontar los proyectos actuales y futuros. Esperamos que la nueva serie Smooth Touch nos permita emprender muchos proyectos interesantes, que resultarán particularmente convincentes cuando sea necesario que haya una escasa fricción en las superficies", resume Eugen Andert, ingeniero de Desarrollo de Productos en KRAIBURG TPE.</w:t>
      </w:r>
    </w:p>
    <w:p w14:paraId="1CDE4999" w14:textId="71DDC7B0" w:rsidR="00617C43" w:rsidRPr="00716873" w:rsidRDefault="0053091F" w:rsidP="00716873">
      <w:pPr>
        <w:keepLines/>
        <w:spacing w:line="360" w:lineRule="auto"/>
        <w:ind w:right="1701"/>
        <w:jc w:val="both"/>
        <w:rPr>
          <w:rFonts w:ascii="Arial" w:hAnsi="Arial"/>
          <w:bCs/>
          <w:sz w:val="20"/>
        </w:rPr>
      </w:pPr>
      <w:r>
        <w:rPr>
          <w:rFonts w:ascii="Arial" w:hAnsi="Arial"/>
          <w:sz w:val="20"/>
        </w:rPr>
        <w:t>Este producto THERMOLAST</w:t>
      </w:r>
      <w:r>
        <w:rPr>
          <w:rFonts w:ascii="Arial" w:hAnsi="Arial"/>
          <w:sz w:val="20"/>
          <w:vertAlign w:val="superscript"/>
        </w:rPr>
        <w:t xml:space="preserve">® </w:t>
      </w:r>
      <w:r>
        <w:rPr>
          <w:rFonts w:ascii="Arial" w:hAnsi="Arial"/>
          <w:sz w:val="20"/>
        </w:rPr>
        <w:t>K ya se encuentra disponible en todo el mundo.</w:t>
      </w:r>
    </w:p>
    <w:p w14:paraId="3AF9C4E7" w14:textId="1B9563AE" w:rsidR="00FD709F" w:rsidRPr="008151E1" w:rsidRDefault="00AB285C" w:rsidP="008151E1">
      <w:pPr>
        <w:keepLines/>
        <w:spacing w:after="0" w:line="360" w:lineRule="auto"/>
        <w:ind w:right="1701"/>
        <w:jc w:val="both"/>
        <w:rPr>
          <w:rFonts w:ascii="Arial" w:hAnsi="Arial"/>
          <w:bCs/>
          <w:sz w:val="20"/>
        </w:rPr>
      </w:pPr>
      <w:r>
        <w:rPr>
          <w:noProof/>
          <w:lang w:val="es-AR" w:eastAsia="es-AR" w:bidi="ar-SA"/>
        </w:rPr>
        <w:drawing>
          <wp:inline distT="0" distB="0" distL="0" distR="0" wp14:anchorId="647F210B" wp14:editId="090FA83A">
            <wp:extent cx="5192308" cy="3460090"/>
            <wp:effectExtent l="0" t="0" r="889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8133" cy="3470636"/>
                    </a:xfrm>
                    <a:prstGeom prst="rect">
                      <a:avLst/>
                    </a:prstGeom>
                    <a:noFill/>
                    <a:ln>
                      <a:noFill/>
                    </a:ln>
                  </pic:spPr>
                </pic:pic>
              </a:graphicData>
            </a:graphic>
          </wp:inline>
        </w:drawing>
      </w:r>
    </w:p>
    <w:p w14:paraId="141FB3B4" w14:textId="3AA134BB" w:rsidR="00FD709F" w:rsidRDefault="00FD709F" w:rsidP="00FD709F">
      <w:pPr>
        <w:rPr>
          <w:rFonts w:ascii="Arial" w:eastAsia="Arial" w:hAnsi="Arial" w:cs="Arial"/>
          <w:b/>
          <w:color w:val="000000"/>
          <w:sz w:val="21"/>
          <w:szCs w:val="21"/>
          <w:lang w:val="de-DE"/>
        </w:rPr>
      </w:pPr>
    </w:p>
    <w:p w14:paraId="333997A8" w14:textId="09CB0809" w:rsidR="002429F2" w:rsidRDefault="007E6578" w:rsidP="00FD709F">
      <w:pPr>
        <w:ind w:right="1701"/>
        <w:rPr>
          <w:rFonts w:ascii="Arial" w:hAnsi="Arial"/>
          <w:i/>
          <w:sz w:val="20"/>
        </w:rPr>
      </w:pPr>
      <w:r>
        <w:rPr>
          <w:rFonts w:ascii="Arial" w:hAnsi="Arial"/>
          <w:b/>
          <w:bCs/>
          <w:sz w:val="20"/>
        </w:rPr>
        <w:t>Foto:</w:t>
      </w:r>
      <w:r>
        <w:rPr>
          <w:rFonts w:ascii="Arial" w:hAnsi="Arial"/>
          <w:sz w:val="20"/>
        </w:rPr>
        <w:t xml:space="preserve"> </w:t>
      </w:r>
      <w:r>
        <w:rPr>
          <w:rFonts w:ascii="Arial" w:hAnsi="Arial"/>
          <w:i/>
          <w:sz w:val="20"/>
        </w:rPr>
        <w:t>KRAIBURG TPE presenta Smooth Touch TPE, una serie de compuestos que establece nuevas referencias en materia de sensación táctil. (Fuente: KRAIBURG TPE)</w:t>
      </w:r>
    </w:p>
    <w:p w14:paraId="4CFFEBC1" w14:textId="77777777" w:rsidR="002429F2" w:rsidRDefault="002429F2">
      <w:pPr>
        <w:rPr>
          <w:rFonts w:ascii="Arial" w:hAnsi="Arial"/>
          <w:i/>
          <w:sz w:val="20"/>
        </w:rPr>
      </w:pPr>
      <w:r>
        <w:rPr>
          <w:rFonts w:ascii="Arial" w:hAnsi="Arial"/>
          <w:i/>
          <w:sz w:val="20"/>
        </w:rPr>
        <w:br w:type="page"/>
      </w:r>
    </w:p>
    <w:p w14:paraId="76EB9767" w14:textId="77777777" w:rsidR="002429F2" w:rsidRPr="004E38C7" w:rsidRDefault="002429F2" w:rsidP="002429F2">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471C3E55" w14:textId="3FB2B6BD" w:rsidR="002429F2" w:rsidRPr="00301B91" w:rsidRDefault="002429F2" w:rsidP="002429F2">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9"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2429F2">
        <w:rPr>
          <w:rFonts w:ascii="Arial" w:hAnsi="Arial" w:cs="Arial"/>
          <w:color w:val="000000" w:themeColor="text1"/>
          <w:sz w:val="20"/>
          <w:vertAlign w:val="superscript"/>
        </w:rPr>
        <w:t>®</w:t>
      </w:r>
      <w:r w:rsidRPr="001E271E">
        <w:rPr>
          <w:rFonts w:ascii="Arial" w:hAnsi="Arial" w:cs="Arial"/>
          <w:color w:val="000000" w:themeColor="text1"/>
          <w:sz w:val="20"/>
        </w:rPr>
        <w:t>, COPEC</w:t>
      </w:r>
      <w:r w:rsidRPr="002429F2">
        <w:rPr>
          <w:rFonts w:ascii="Arial" w:hAnsi="Arial" w:cs="Arial"/>
          <w:color w:val="000000" w:themeColor="text1"/>
          <w:sz w:val="20"/>
          <w:vertAlign w:val="superscript"/>
        </w:rPr>
        <w:t>®</w:t>
      </w:r>
      <w:r w:rsidRPr="001E271E">
        <w:rPr>
          <w:rFonts w:ascii="Arial" w:hAnsi="Arial" w:cs="Arial"/>
          <w:color w:val="000000" w:themeColor="text1"/>
          <w:sz w:val="20"/>
        </w:rPr>
        <w:t>, HIPEX</w:t>
      </w:r>
      <w:r w:rsidRPr="002429F2">
        <w:rPr>
          <w:rFonts w:ascii="Arial" w:hAnsi="Arial" w:cs="Arial"/>
          <w:color w:val="000000" w:themeColor="text1"/>
          <w:sz w:val="20"/>
          <w:vertAlign w:val="superscript"/>
        </w:rPr>
        <w:t>®</w:t>
      </w:r>
      <w:r w:rsidRPr="001E271E">
        <w:rPr>
          <w:rFonts w:ascii="Arial" w:hAnsi="Arial" w:cs="Arial"/>
          <w:color w:val="000000" w:themeColor="text1"/>
          <w:sz w:val="20"/>
        </w:rPr>
        <w:t xml:space="preserve"> y </w:t>
      </w:r>
      <w:proofErr w:type="spellStart"/>
      <w:r w:rsidRPr="001E271E">
        <w:rPr>
          <w:rFonts w:ascii="Arial" w:hAnsi="Arial" w:cs="Arial"/>
          <w:color w:val="000000" w:themeColor="text1"/>
          <w:sz w:val="20"/>
        </w:rPr>
        <w:t>For</w:t>
      </w:r>
      <w:proofErr w:type="spellEnd"/>
      <w:r w:rsidRPr="001E271E">
        <w:rPr>
          <w:rFonts w:ascii="Arial" w:hAnsi="Arial" w:cs="Arial"/>
          <w:color w:val="000000" w:themeColor="text1"/>
          <w:sz w:val="20"/>
        </w:rPr>
        <w:t xml:space="preserve"> </w:t>
      </w:r>
      <w:proofErr w:type="spellStart"/>
      <w:r w:rsidRPr="001E271E">
        <w:rPr>
          <w:rFonts w:ascii="Arial" w:hAnsi="Arial" w:cs="Arial"/>
          <w:color w:val="000000" w:themeColor="text1"/>
          <w:sz w:val="20"/>
        </w:rPr>
        <w:t>Tec</w:t>
      </w:r>
      <w:proofErr w:type="spellEnd"/>
      <w:r w:rsidRPr="001E271E">
        <w:rPr>
          <w:rFonts w:ascii="Arial" w:hAnsi="Arial" w:cs="Arial"/>
          <w:color w:val="000000" w:themeColor="text1"/>
          <w:sz w:val="20"/>
        </w:rPr>
        <w:t xml:space="preserve"> E</w:t>
      </w:r>
      <w:r w:rsidRPr="002429F2">
        <w:rPr>
          <w:rFonts w:ascii="Arial" w:hAnsi="Arial" w:cs="Arial"/>
          <w:color w:val="000000" w:themeColor="text1"/>
          <w:sz w:val="20"/>
          <w:vertAlign w:val="superscript"/>
        </w:rPr>
        <w:t>®</w:t>
      </w:r>
      <w:r w:rsidRPr="001E271E">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232627A1" w14:textId="77777777" w:rsidR="00301B91" w:rsidRPr="00AB285C" w:rsidRDefault="00301B91" w:rsidP="00FD709F">
      <w:pPr>
        <w:ind w:right="1701"/>
        <w:rPr>
          <w:rFonts w:ascii="Arial" w:hAnsi="Arial"/>
          <w:bCs/>
          <w:sz w:val="20"/>
        </w:rPr>
      </w:pPr>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rPr>
      </w:pPr>
      <w:r>
        <w:rPr>
          <w:rFonts w:ascii="Arial" w:hAnsi="Arial"/>
          <w:b/>
          <w:color w:val="000000"/>
          <w:sz w:val="21"/>
        </w:rPr>
        <w:tab/>
      </w:r>
    </w:p>
    <w:sectPr w:rsidR="00AE2EFE"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1C536" w14:textId="77777777" w:rsidR="00E96E11" w:rsidRDefault="00E96E11" w:rsidP="00784C57">
      <w:pPr>
        <w:spacing w:after="0" w:line="240" w:lineRule="auto"/>
      </w:pPr>
      <w:r>
        <w:separator/>
      </w:r>
    </w:p>
  </w:endnote>
  <w:endnote w:type="continuationSeparator" w:id="0">
    <w:p w14:paraId="22BE4341" w14:textId="77777777" w:rsidR="00E96E11" w:rsidRDefault="00E96E1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17930" w14:textId="77777777" w:rsidR="00E96E11" w:rsidRDefault="00E96E11" w:rsidP="00784C57">
      <w:pPr>
        <w:spacing w:after="0" w:line="240" w:lineRule="auto"/>
      </w:pPr>
      <w:r>
        <w:separator/>
      </w:r>
    </w:p>
  </w:footnote>
  <w:footnote w:type="continuationSeparator" w:id="0">
    <w:p w14:paraId="4F446B1E" w14:textId="77777777" w:rsidR="00E96E11" w:rsidRDefault="00E96E1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6BBD9C91" w14:textId="2289DEC4" w:rsidR="00705AA5" w:rsidRDefault="00705AA5" w:rsidP="00670D07">
          <w:pPr>
            <w:spacing w:after="0" w:line="360" w:lineRule="auto"/>
            <w:ind w:left="-105"/>
            <w:jc w:val="both"/>
            <w:rPr>
              <w:rFonts w:ascii="Arial" w:hAnsi="Arial"/>
              <w:b/>
              <w:sz w:val="16"/>
            </w:rPr>
          </w:pPr>
          <w:r>
            <w:rPr>
              <w:rFonts w:ascii="Arial" w:hAnsi="Arial"/>
              <w:b/>
              <w:sz w:val="16"/>
            </w:rPr>
            <w:t>Prohibido no tocar: nuevos compuestos de KRAIBURG TPE</w:t>
          </w:r>
        </w:p>
        <w:p w14:paraId="47D99C4E" w14:textId="526A1DE6"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octubre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0058D8">
            <w:rPr>
              <w:rFonts w:ascii="Arial" w:hAnsi="Arial" w:cs="Arial"/>
              <w:b/>
              <w:noProof/>
              <w:sz w:val="16"/>
            </w:rPr>
            <w:t>2</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0058D8">
            <w:rPr>
              <w:rFonts w:ascii="Arial" w:hAnsi="Arial" w:cs="Arial"/>
              <w:b/>
              <w:noProof/>
              <w:sz w:val="16"/>
            </w:rPr>
            <w:t>3</w:t>
          </w:r>
          <w:r w:rsidRPr="00670D07">
            <w:rPr>
              <w:rFonts w:ascii="Arial" w:hAnsi="Arial" w:cs="Arial"/>
              <w:b/>
              <w:sz w:val="16"/>
            </w:rPr>
            <w:fldChar w:fldCharType="end"/>
          </w:r>
        </w:p>
      </w:tc>
    </w:tr>
  </w:tbl>
  <w:p w14:paraId="39FC39A7" w14:textId="77777777" w:rsidR="00502615" w:rsidRPr="002429F2" w:rsidRDefault="00502615" w:rsidP="00502615">
    <w:pPr>
      <w:pStyle w:val="Kopfzeile"/>
      <w:tabs>
        <w:tab w:val="clear" w:pos="4703"/>
        <w:tab w:val="clear" w:pos="9406"/>
      </w:tabs>
      <w:rPr>
        <w:rFonts w:ascii="Arial" w:hAnsi="Arial" w:cs="Arial"/>
        <w:sz w:val="20"/>
        <w:szCs w:val="20"/>
        <w:lang w:val="fr-FR"/>
      </w:rPr>
    </w:pPr>
  </w:p>
  <w:p w14:paraId="1C3C8F97" w14:textId="77777777" w:rsidR="001A1A47" w:rsidRPr="002429F2"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17CDD2F9"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6D2F509D" w14:textId="71FCC0FB" w:rsidR="00461B03" w:rsidRDefault="00461B03" w:rsidP="00461B03">
          <w:pPr>
            <w:spacing w:after="0" w:line="360" w:lineRule="auto"/>
            <w:ind w:left="-105"/>
            <w:jc w:val="both"/>
            <w:rPr>
              <w:rFonts w:ascii="Arial" w:hAnsi="Arial"/>
              <w:b/>
              <w:sz w:val="16"/>
            </w:rPr>
          </w:pPr>
          <w:r>
            <w:rPr>
              <w:rFonts w:ascii="Arial" w:hAnsi="Arial"/>
              <w:b/>
              <w:sz w:val="16"/>
            </w:rPr>
            <w:t>Prohibido no tocar: nuevos compuestos de KRAIBURG TPE</w:t>
          </w:r>
        </w:p>
        <w:p w14:paraId="480B30BF" w14:textId="78CDCC88"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octubre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0058D8">
            <w:rPr>
              <w:rFonts w:ascii="Arial" w:hAnsi="Arial" w:cs="Arial"/>
              <w:b/>
              <w:noProof/>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0058D8" w:rsidRPr="000058D8">
            <w:rPr>
              <w:rFonts w:ascii="Arial" w:hAnsi="Arial" w:cs="Arial"/>
              <w:b/>
              <w:noProof/>
              <w:sz w:val="16"/>
            </w:rPr>
            <w:t>3</w:t>
          </w:r>
          <w:r w:rsidR="00E24AAB">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2429F2" w:rsidRDefault="00502615" w:rsidP="00502615">
          <w:pPr>
            <w:pStyle w:val="Kopfzeile"/>
            <w:tabs>
              <w:tab w:val="clear" w:pos="4703"/>
              <w:tab w:val="clear" w:pos="9406"/>
            </w:tabs>
            <w:rPr>
              <w:rFonts w:ascii="Arial" w:hAnsi="Arial" w:cs="Arial"/>
              <w:sz w:val="16"/>
              <w:szCs w:val="16"/>
              <w:lang w:val="de-DE"/>
            </w:rPr>
          </w:pPr>
          <w:r w:rsidRPr="002429F2">
            <w:rPr>
              <w:rFonts w:ascii="Arial" w:hAnsi="Arial"/>
              <w:sz w:val="16"/>
              <w:lang w:val="de-DE"/>
            </w:rPr>
            <w:t>Friedrich-Schmidt-Strasse 2</w:t>
          </w:r>
        </w:p>
        <w:p w14:paraId="5FBD4B77" w14:textId="77777777" w:rsidR="00502615" w:rsidRPr="002429F2" w:rsidRDefault="00502615" w:rsidP="00502615">
          <w:pPr>
            <w:pStyle w:val="Kopfzeile"/>
            <w:tabs>
              <w:tab w:val="clear" w:pos="4703"/>
              <w:tab w:val="clear" w:pos="9406"/>
            </w:tabs>
            <w:rPr>
              <w:rFonts w:ascii="Arial" w:hAnsi="Arial" w:cs="Arial"/>
              <w:sz w:val="16"/>
              <w:szCs w:val="16"/>
              <w:lang w:val="it-IT"/>
            </w:rPr>
          </w:pPr>
          <w:r w:rsidRPr="002429F2">
            <w:rPr>
              <w:rFonts w:ascii="Arial" w:hAnsi="Arial"/>
              <w:sz w:val="16"/>
              <w:lang w:val="it-IT"/>
            </w:rPr>
            <w:t>84478 Waldkraiburg</w:t>
          </w:r>
        </w:p>
        <w:p w14:paraId="7C04F590" w14:textId="77777777" w:rsidR="00502615" w:rsidRPr="002429F2" w:rsidRDefault="00FB6011" w:rsidP="00502615">
          <w:pPr>
            <w:pStyle w:val="Kopfzeile"/>
            <w:tabs>
              <w:tab w:val="clear" w:pos="4703"/>
              <w:tab w:val="clear" w:pos="9406"/>
            </w:tabs>
            <w:rPr>
              <w:rFonts w:ascii="Arial" w:hAnsi="Arial" w:cs="Arial"/>
              <w:sz w:val="16"/>
              <w:szCs w:val="16"/>
              <w:lang w:val="it-IT"/>
            </w:rPr>
          </w:pPr>
          <w:r w:rsidRPr="002429F2">
            <w:rPr>
              <w:rFonts w:ascii="Arial" w:hAnsi="Arial"/>
              <w:sz w:val="16"/>
              <w:lang w:val="it-IT"/>
            </w:rPr>
            <w:t>Alemania</w:t>
          </w:r>
        </w:p>
        <w:p w14:paraId="654D8448" w14:textId="77777777" w:rsidR="00502615" w:rsidRPr="002429F2" w:rsidRDefault="00502615" w:rsidP="00502615">
          <w:pPr>
            <w:pStyle w:val="Kopfzeile"/>
            <w:tabs>
              <w:tab w:val="clear" w:pos="4703"/>
              <w:tab w:val="clear" w:pos="9406"/>
            </w:tabs>
            <w:rPr>
              <w:rFonts w:ascii="Arial" w:hAnsi="Arial" w:cs="Arial"/>
              <w:sz w:val="16"/>
              <w:szCs w:val="16"/>
              <w:lang w:val="it-IT"/>
            </w:rPr>
          </w:pPr>
        </w:p>
        <w:p w14:paraId="69D89871" w14:textId="77777777" w:rsidR="00C97AAF" w:rsidRPr="002429F2" w:rsidRDefault="00C97AAF" w:rsidP="00C97AAF">
          <w:pPr>
            <w:pStyle w:val="Kopfzeile"/>
            <w:tabs>
              <w:tab w:val="clear" w:pos="4703"/>
              <w:tab w:val="clear" w:pos="9406"/>
            </w:tabs>
            <w:rPr>
              <w:rFonts w:ascii="Arial" w:hAnsi="Arial" w:cs="Arial"/>
              <w:sz w:val="16"/>
              <w:szCs w:val="16"/>
              <w:lang w:val="it-IT"/>
            </w:rPr>
          </w:pPr>
          <w:r w:rsidRPr="002429F2">
            <w:rPr>
              <w:rFonts w:ascii="Arial" w:hAnsi="Arial"/>
              <w:sz w:val="16"/>
              <w:lang w:val="it-IT"/>
            </w:rPr>
            <w:t>Teléfono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2429F2" w:rsidRDefault="00502615" w:rsidP="00502615">
          <w:pPr>
            <w:pStyle w:val="Kopfzeile"/>
            <w:tabs>
              <w:tab w:val="clear" w:pos="4703"/>
              <w:tab w:val="clear" w:pos="9406"/>
            </w:tabs>
            <w:rPr>
              <w:rFonts w:ascii="Arial" w:hAnsi="Arial" w:cs="Arial"/>
              <w:sz w:val="16"/>
              <w:szCs w:val="16"/>
              <w:lang w:val="it-IT"/>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A03DBF" w:rsidRDefault="00670D07" w:rsidP="00670D07">
                          <w:pPr>
                            <w:pStyle w:val="Textkrper-Zeileneinzug"/>
                            <w:ind w:left="0"/>
                            <w:rPr>
                              <w:i w:val="0"/>
                              <w:sz w:val="16"/>
                              <w:szCs w:val="16"/>
                            </w:rPr>
                          </w:pPr>
                          <w:r>
                            <w:rPr>
                              <w:i w:val="0"/>
                              <w:sz w:val="16"/>
                            </w:rPr>
                            <w:t>Juliane Schmidhuber</w:t>
                          </w:r>
                        </w:p>
                        <w:p w14:paraId="29621C49" w14:textId="77777777" w:rsidR="00670D07" w:rsidRPr="00A03DBF"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A03DBF" w:rsidRDefault="00670D07" w:rsidP="00670D07">
                          <w:pPr>
                            <w:pStyle w:val="Textkrper-Zeileneinzug"/>
                            <w:ind w:left="0"/>
                            <w:rPr>
                              <w:i w:val="0"/>
                              <w:sz w:val="16"/>
                              <w:szCs w:val="16"/>
                            </w:rPr>
                          </w:pPr>
                          <w:r>
                            <w:rPr>
                              <w:i w:val="0"/>
                              <w:sz w:val="16"/>
                            </w:rPr>
                            <w:t>Tel. +49 8638 9810 568</w:t>
                          </w:r>
                        </w:p>
                        <w:p w14:paraId="48867A97" w14:textId="77777777" w:rsidR="00670D07" w:rsidRPr="00A03DBF" w:rsidRDefault="00670D07" w:rsidP="00670D07">
                          <w:pPr>
                            <w:pStyle w:val="Textkrper-Zeileneinzug"/>
                            <w:ind w:left="0"/>
                            <w:rPr>
                              <w:rStyle w:val="Hyperlink"/>
                              <w:i w:val="0"/>
                              <w:iCs w:val="0"/>
                              <w:sz w:val="16"/>
                            </w:rPr>
                          </w:pPr>
                          <w:r>
                            <w:rPr>
                              <w:i w:val="0"/>
                              <w:sz w:val="16"/>
                            </w:rPr>
                            <w:fldChar w:fldCharType="begin"/>
                          </w:r>
                          <w:r w:rsidRPr="00A03DBF">
                            <w:rPr>
                              <w:i w:val="0"/>
                              <w:sz w:val="16"/>
                            </w:rPr>
                            <w:instrText xml:space="preserve"> HYPERLINK "juliane.schmidhuber@kraiburg-tpe.com" </w:instrText>
                          </w:r>
                          <w:r>
                            <w:rPr>
                              <w:i w:val="0"/>
                              <w:sz w:val="16"/>
                            </w:rPr>
                            <w:fldChar w:fldCharType="separate"/>
                          </w:r>
                          <w:r>
                            <w:rPr>
                              <w:rStyle w:val="Hyperlink"/>
                              <w:i w:val="0"/>
                              <w:sz w:val="16"/>
                            </w:rPr>
                            <w:t>juliane.schmidhuber@kraiburg-tpe.com</w:t>
                          </w:r>
                        </w:p>
                        <w:p w14:paraId="6A19C56D" w14:textId="77777777" w:rsidR="00670D07" w:rsidRPr="00A03DBF" w:rsidRDefault="00670D07" w:rsidP="00670D07">
                          <w:pPr>
                            <w:pStyle w:val="Textkrper-Zeileneinzug"/>
                            <w:ind w:left="0"/>
                            <w:rPr>
                              <w:sz w:val="16"/>
                            </w:rPr>
                          </w:pPr>
                          <w:r>
                            <w:rPr>
                              <w:i w:val="0"/>
                              <w:sz w:val="16"/>
                            </w:rPr>
                            <w:fldChar w:fldCharType="end"/>
                          </w:r>
                        </w:p>
                        <w:p w14:paraId="79B7C6E1" w14:textId="77777777" w:rsidR="00670D07" w:rsidRPr="00A03DBF"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A03DBF"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4201C2" w:rsidRDefault="00BA4A75" w:rsidP="00670D07">
                          <w:pPr>
                            <w:pStyle w:val="Kopfzeile"/>
                            <w:spacing w:line="360" w:lineRule="auto"/>
                            <w:rPr>
                              <w:rFonts w:ascii="Arial" w:hAnsi="Arial" w:cs="Arial"/>
                              <w:sz w:val="16"/>
                              <w:szCs w:val="16"/>
                            </w:rPr>
                          </w:pPr>
                          <w:hyperlink r:id="rId2" w:history="1">
                            <w:r w:rsidR="00A60951">
                              <w:rPr>
                                <w:rStyle w:val="Hyperlink"/>
                                <w:rFonts w:ascii="Arial" w:hAnsi="Arial"/>
                                <w:sz w:val="16"/>
                              </w:rPr>
                              <w:t>bridget.ngang@kraiburg-tpe.com</w:t>
                            </w:r>
                          </w:hyperlink>
                        </w:p>
                        <w:p w14:paraId="0C45D6A6" w14:textId="77777777" w:rsidR="00670D07" w:rsidRPr="00EF07DF" w:rsidRDefault="00670D07" w:rsidP="00670D07">
                          <w:pPr>
                            <w:pStyle w:val="Textkrper-Zeileneinzug"/>
                            <w:ind w:left="0"/>
                            <w:rPr>
                              <w:bCs/>
                              <w:sz w:val="16"/>
                              <w:szCs w:val="16"/>
                              <w:lang w:val="es-AR"/>
                            </w:rPr>
                          </w:pPr>
                        </w:p>
                        <w:p w14:paraId="6E486077" w14:textId="77777777" w:rsidR="00670D07" w:rsidRPr="004201C2"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A03DBF" w:rsidRDefault="00670D07" w:rsidP="00670D07">
                    <w:pPr>
                      <w:pStyle w:val="Textkrper-Zeileneinzug"/>
                      <w:ind w:left="0"/>
                      <w:rPr>
                        <w:i w:val="0"/>
                        <w:sz w:val="16"/>
                        <w:szCs w:val="16"/>
                      </w:rPr>
                    </w:pPr>
                    <w:r>
                      <w:rPr>
                        <w:i w:val="0"/>
                        <w:sz w:val="16"/>
                      </w:rPr>
                      <w:t>Juliane Schmidhuber</w:t>
                    </w:r>
                  </w:p>
                  <w:p w14:paraId="29621C49" w14:textId="77777777" w:rsidR="00670D07" w:rsidRPr="00A03DBF"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A03DBF" w:rsidRDefault="00670D07" w:rsidP="00670D07">
                    <w:pPr>
                      <w:pStyle w:val="Textkrper-Zeileneinzug"/>
                      <w:ind w:left="0"/>
                      <w:rPr>
                        <w:i w:val="0"/>
                        <w:sz w:val="16"/>
                        <w:szCs w:val="16"/>
                      </w:rPr>
                    </w:pPr>
                    <w:r>
                      <w:rPr>
                        <w:i w:val="0"/>
                        <w:sz w:val="16"/>
                      </w:rPr>
                      <w:t>Tel. +49 8638 9810 568</w:t>
                    </w:r>
                  </w:p>
                  <w:p w14:paraId="48867A97" w14:textId="77777777" w:rsidR="00670D07" w:rsidRPr="00A03DBF" w:rsidRDefault="00670D07" w:rsidP="00670D07">
                    <w:pPr>
                      <w:pStyle w:val="Textkrper-Zeileneinzug"/>
                      <w:ind w:left="0"/>
                      <w:rPr>
                        <w:rStyle w:val="Hyperlink"/>
                        <w:i w:val="0"/>
                        <w:iCs w:val="0"/>
                        <w:sz w:val="16"/>
                      </w:rPr>
                    </w:pPr>
                    <w:r>
                      <w:rPr>
                        <w:i w:val="0"/>
                        <w:sz w:val="16"/>
                      </w:rPr>
                      <w:fldChar w:fldCharType="begin"/>
                    </w:r>
                    <w:r w:rsidRPr="00A03DBF">
                      <w:rPr>
                        <w:i w:val="0"/>
                        <w:sz w:val="16"/>
                      </w:rPr>
                      <w:instrText xml:space="preserve"> HYPERLINK "juliane.schmidhuber@kraiburg-tpe.com" </w:instrText>
                    </w:r>
                    <w:r>
                      <w:rPr>
                        <w:i w:val="0"/>
                        <w:sz w:val="16"/>
                      </w:rPr>
                      <w:fldChar w:fldCharType="separate"/>
                    </w:r>
                    <w:r>
                      <w:rPr>
                        <w:rStyle w:val="Hyperlink"/>
                        <w:i w:val="0"/>
                        <w:sz w:val="16"/>
                      </w:rPr>
                      <w:t>juliane.schmidhuber@kraiburg-tpe.com</w:t>
                    </w:r>
                  </w:p>
                  <w:p w14:paraId="6A19C56D" w14:textId="77777777" w:rsidR="00670D07" w:rsidRPr="00A03DBF" w:rsidRDefault="00670D07" w:rsidP="00670D07">
                    <w:pPr>
                      <w:pStyle w:val="Textkrper-Zeileneinzug"/>
                      <w:ind w:left="0"/>
                      <w:rPr>
                        <w:sz w:val="16"/>
                      </w:rPr>
                    </w:pPr>
                    <w:r>
                      <w:rPr>
                        <w:i w:val="0"/>
                        <w:sz w:val="16"/>
                      </w:rPr>
                      <w:fldChar w:fldCharType="end"/>
                    </w:r>
                  </w:p>
                  <w:p w14:paraId="79B7C6E1" w14:textId="77777777" w:rsidR="00670D07" w:rsidRPr="00A03DBF"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A03DBF"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4201C2" w:rsidRDefault="00BA4A75" w:rsidP="00670D07">
                    <w:pPr>
                      <w:pStyle w:val="Kopfzeile"/>
                      <w:spacing w:line="360" w:lineRule="auto"/>
                      <w:rPr>
                        <w:rFonts w:ascii="Arial" w:hAnsi="Arial" w:cs="Arial"/>
                        <w:sz w:val="16"/>
                        <w:szCs w:val="16"/>
                      </w:rPr>
                    </w:pPr>
                    <w:hyperlink r:id="rId3" w:history="1">
                      <w:r w:rsidR="00A60951">
                        <w:rPr>
                          <w:rStyle w:val="Hyperlink"/>
                          <w:rFonts w:ascii="Arial" w:hAnsi="Arial"/>
                          <w:sz w:val="16"/>
                        </w:rPr>
                        <w:t>bridget.ngang@kraiburg-tpe.com</w:t>
                      </w:r>
                    </w:hyperlink>
                  </w:p>
                  <w:p w14:paraId="0C45D6A6" w14:textId="77777777" w:rsidR="00670D07" w:rsidRPr="00EF07DF" w:rsidRDefault="00670D07" w:rsidP="00670D07">
                    <w:pPr>
                      <w:pStyle w:val="Textkrper-Zeileneinzug"/>
                      <w:ind w:left="0"/>
                      <w:rPr>
                        <w:bCs/>
                        <w:sz w:val="16"/>
                        <w:szCs w:val="16"/>
                        <w:lang w:val="es-AR"/>
                      </w:rPr>
                    </w:pPr>
                  </w:p>
                  <w:p w14:paraId="6E486077" w14:textId="77777777" w:rsidR="00670D07" w:rsidRPr="004201C2"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058D8"/>
    <w:rsid w:val="0000716B"/>
    <w:rsid w:val="00010D19"/>
    <w:rsid w:val="00010E41"/>
    <w:rsid w:val="00010F92"/>
    <w:rsid w:val="000134F1"/>
    <w:rsid w:val="00015E53"/>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699C"/>
    <w:rsid w:val="00095D0F"/>
    <w:rsid w:val="00096240"/>
    <w:rsid w:val="00096CA7"/>
    <w:rsid w:val="00097D31"/>
    <w:rsid w:val="000A16A5"/>
    <w:rsid w:val="000A510D"/>
    <w:rsid w:val="000A67F8"/>
    <w:rsid w:val="000B180F"/>
    <w:rsid w:val="000B56A2"/>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E7E"/>
    <w:rsid w:val="001479D4"/>
    <w:rsid w:val="00150CD7"/>
    <w:rsid w:val="0015141B"/>
    <w:rsid w:val="00152F07"/>
    <w:rsid w:val="0015332C"/>
    <w:rsid w:val="00153FC3"/>
    <w:rsid w:val="00156A2A"/>
    <w:rsid w:val="00157863"/>
    <w:rsid w:val="00163A3D"/>
    <w:rsid w:val="00163E63"/>
    <w:rsid w:val="001655DB"/>
    <w:rsid w:val="0017332B"/>
    <w:rsid w:val="00180A3E"/>
    <w:rsid w:val="00180F66"/>
    <w:rsid w:val="00181B4E"/>
    <w:rsid w:val="00181E3C"/>
    <w:rsid w:val="001838B6"/>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1F7E19"/>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29F2"/>
    <w:rsid w:val="002460D8"/>
    <w:rsid w:val="0025112E"/>
    <w:rsid w:val="00251D82"/>
    <w:rsid w:val="002631F5"/>
    <w:rsid w:val="00265043"/>
    <w:rsid w:val="00265861"/>
    <w:rsid w:val="002752E7"/>
    <w:rsid w:val="00286B4A"/>
    <w:rsid w:val="00290773"/>
    <w:rsid w:val="0029752E"/>
    <w:rsid w:val="002A37DD"/>
    <w:rsid w:val="002B038C"/>
    <w:rsid w:val="002B3A55"/>
    <w:rsid w:val="002C4280"/>
    <w:rsid w:val="002C6993"/>
    <w:rsid w:val="002D07E2"/>
    <w:rsid w:val="002F0C0F"/>
    <w:rsid w:val="002F2061"/>
    <w:rsid w:val="002F563D"/>
    <w:rsid w:val="003007E3"/>
    <w:rsid w:val="00301B91"/>
    <w:rsid w:val="00303E71"/>
    <w:rsid w:val="00307556"/>
    <w:rsid w:val="00322F86"/>
    <w:rsid w:val="00326560"/>
    <w:rsid w:val="00327226"/>
    <w:rsid w:val="003317C1"/>
    <w:rsid w:val="00336615"/>
    <w:rsid w:val="00337E50"/>
    <w:rsid w:val="0034252F"/>
    <w:rsid w:val="00345D42"/>
    <w:rsid w:val="003463B5"/>
    <w:rsid w:val="003465CD"/>
    <w:rsid w:val="00347279"/>
    <w:rsid w:val="003475EF"/>
    <w:rsid w:val="00347621"/>
    <w:rsid w:val="00352448"/>
    <w:rsid w:val="00353DF3"/>
    <w:rsid w:val="003661C5"/>
    <w:rsid w:val="003707FD"/>
    <w:rsid w:val="0037152D"/>
    <w:rsid w:val="003720FA"/>
    <w:rsid w:val="0037310E"/>
    <w:rsid w:val="0037668F"/>
    <w:rsid w:val="003852C6"/>
    <w:rsid w:val="00385A9C"/>
    <w:rsid w:val="003907F8"/>
    <w:rsid w:val="00391BCE"/>
    <w:rsid w:val="00394A0E"/>
    <w:rsid w:val="003B3372"/>
    <w:rsid w:val="003C4088"/>
    <w:rsid w:val="003C6DEF"/>
    <w:rsid w:val="003C78DA"/>
    <w:rsid w:val="003D2A50"/>
    <w:rsid w:val="003D5B7D"/>
    <w:rsid w:val="003D5B9E"/>
    <w:rsid w:val="003D7ABE"/>
    <w:rsid w:val="003E2C4F"/>
    <w:rsid w:val="003F452A"/>
    <w:rsid w:val="003F6394"/>
    <w:rsid w:val="003F6453"/>
    <w:rsid w:val="004002A2"/>
    <w:rsid w:val="00403279"/>
    <w:rsid w:val="004047A2"/>
    <w:rsid w:val="00406C85"/>
    <w:rsid w:val="004146B6"/>
    <w:rsid w:val="0042084B"/>
    <w:rsid w:val="004212E8"/>
    <w:rsid w:val="00424BA2"/>
    <w:rsid w:val="00435C61"/>
    <w:rsid w:val="00444C92"/>
    <w:rsid w:val="00447126"/>
    <w:rsid w:val="00456843"/>
    <w:rsid w:val="00456A3B"/>
    <w:rsid w:val="00461B03"/>
    <w:rsid w:val="004622D9"/>
    <w:rsid w:val="00471A94"/>
    <w:rsid w:val="00481947"/>
    <w:rsid w:val="004822E3"/>
    <w:rsid w:val="004913D5"/>
    <w:rsid w:val="00496B9F"/>
    <w:rsid w:val="004A62E0"/>
    <w:rsid w:val="004A6B91"/>
    <w:rsid w:val="004B7EBA"/>
    <w:rsid w:val="004C00A2"/>
    <w:rsid w:val="004C54DB"/>
    <w:rsid w:val="004C5ABF"/>
    <w:rsid w:val="004C6E24"/>
    <w:rsid w:val="004D5BAF"/>
    <w:rsid w:val="004E32FE"/>
    <w:rsid w:val="004E4AC2"/>
    <w:rsid w:val="004F36AD"/>
    <w:rsid w:val="00502615"/>
    <w:rsid w:val="0050419E"/>
    <w:rsid w:val="005058E1"/>
    <w:rsid w:val="00510CE3"/>
    <w:rsid w:val="00511B32"/>
    <w:rsid w:val="00517EC7"/>
    <w:rsid w:val="00526A4B"/>
    <w:rsid w:val="00527510"/>
    <w:rsid w:val="005275DB"/>
    <w:rsid w:val="005300E2"/>
    <w:rsid w:val="0053091F"/>
    <w:rsid w:val="00534B6F"/>
    <w:rsid w:val="00542F64"/>
    <w:rsid w:val="005504A2"/>
    <w:rsid w:val="00550C61"/>
    <w:rsid w:val="0055418D"/>
    <w:rsid w:val="005741D7"/>
    <w:rsid w:val="0058091A"/>
    <w:rsid w:val="0059553E"/>
    <w:rsid w:val="00596A6B"/>
    <w:rsid w:val="005A141C"/>
    <w:rsid w:val="005C4532"/>
    <w:rsid w:val="005D467D"/>
    <w:rsid w:val="005E1C3F"/>
    <w:rsid w:val="0060194A"/>
    <w:rsid w:val="006074FF"/>
    <w:rsid w:val="00610F2F"/>
    <w:rsid w:val="00614013"/>
    <w:rsid w:val="00617C43"/>
    <w:rsid w:val="006241B5"/>
    <w:rsid w:val="00625735"/>
    <w:rsid w:val="006466ED"/>
    <w:rsid w:val="00651B91"/>
    <w:rsid w:val="00656148"/>
    <w:rsid w:val="00661BAB"/>
    <w:rsid w:val="00666EA8"/>
    <w:rsid w:val="006709AB"/>
    <w:rsid w:val="00670D07"/>
    <w:rsid w:val="00673E57"/>
    <w:rsid w:val="006825E7"/>
    <w:rsid w:val="00696A39"/>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05AA5"/>
    <w:rsid w:val="0071465B"/>
    <w:rsid w:val="0071575E"/>
    <w:rsid w:val="00716873"/>
    <w:rsid w:val="00717F28"/>
    <w:rsid w:val="00722A47"/>
    <w:rsid w:val="007246AB"/>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4C2D"/>
    <w:rsid w:val="007D30B0"/>
    <w:rsid w:val="007D7444"/>
    <w:rsid w:val="007E5516"/>
    <w:rsid w:val="007E6578"/>
    <w:rsid w:val="007F0CED"/>
    <w:rsid w:val="007F1877"/>
    <w:rsid w:val="007F1B8B"/>
    <w:rsid w:val="007F3DBF"/>
    <w:rsid w:val="007F513A"/>
    <w:rsid w:val="007F55EF"/>
    <w:rsid w:val="00802184"/>
    <w:rsid w:val="008076DE"/>
    <w:rsid w:val="008129CD"/>
    <w:rsid w:val="008151E1"/>
    <w:rsid w:val="008519D9"/>
    <w:rsid w:val="00855626"/>
    <w:rsid w:val="0085771F"/>
    <w:rsid w:val="00861B00"/>
    <w:rsid w:val="00863888"/>
    <w:rsid w:val="0088592F"/>
    <w:rsid w:val="00885E31"/>
    <w:rsid w:val="00893ECA"/>
    <w:rsid w:val="0089741F"/>
    <w:rsid w:val="00897E77"/>
    <w:rsid w:val="008B1D69"/>
    <w:rsid w:val="008B1F30"/>
    <w:rsid w:val="008B2E96"/>
    <w:rsid w:val="008B6AFF"/>
    <w:rsid w:val="008C421E"/>
    <w:rsid w:val="008C43CA"/>
    <w:rsid w:val="008C7462"/>
    <w:rsid w:val="008D21B6"/>
    <w:rsid w:val="008D4CF9"/>
    <w:rsid w:val="008D524E"/>
    <w:rsid w:val="008D6339"/>
    <w:rsid w:val="008E1977"/>
    <w:rsid w:val="008E3539"/>
    <w:rsid w:val="008E5B5F"/>
    <w:rsid w:val="008F0012"/>
    <w:rsid w:val="008F5FB4"/>
    <w:rsid w:val="00901F33"/>
    <w:rsid w:val="00923D2E"/>
    <w:rsid w:val="00937972"/>
    <w:rsid w:val="0094177E"/>
    <w:rsid w:val="0094276D"/>
    <w:rsid w:val="00944DD0"/>
    <w:rsid w:val="00947D55"/>
    <w:rsid w:val="00963520"/>
    <w:rsid w:val="00964C40"/>
    <w:rsid w:val="009750D6"/>
    <w:rsid w:val="00975999"/>
    <w:rsid w:val="00980CAF"/>
    <w:rsid w:val="00980DBB"/>
    <w:rsid w:val="00980DE8"/>
    <w:rsid w:val="00981A4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3DBF"/>
    <w:rsid w:val="00A07B65"/>
    <w:rsid w:val="00A16387"/>
    <w:rsid w:val="00A221D4"/>
    <w:rsid w:val="00A2616A"/>
    <w:rsid w:val="00A26C5C"/>
    <w:rsid w:val="00A3461E"/>
    <w:rsid w:val="00A36E36"/>
    <w:rsid w:val="00A36E6E"/>
    <w:rsid w:val="00A4372D"/>
    <w:rsid w:val="00A57CD6"/>
    <w:rsid w:val="00A57E2B"/>
    <w:rsid w:val="00A60951"/>
    <w:rsid w:val="00A67EC5"/>
    <w:rsid w:val="00A709B8"/>
    <w:rsid w:val="00A77845"/>
    <w:rsid w:val="00A80021"/>
    <w:rsid w:val="00A80411"/>
    <w:rsid w:val="00A805C3"/>
    <w:rsid w:val="00A805F6"/>
    <w:rsid w:val="00A8093A"/>
    <w:rsid w:val="00A832FB"/>
    <w:rsid w:val="00A8619A"/>
    <w:rsid w:val="00A86261"/>
    <w:rsid w:val="00AA093C"/>
    <w:rsid w:val="00AB285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F10E5"/>
    <w:rsid w:val="00AF26A9"/>
    <w:rsid w:val="00AF706E"/>
    <w:rsid w:val="00AF745B"/>
    <w:rsid w:val="00B05404"/>
    <w:rsid w:val="00B06058"/>
    <w:rsid w:val="00B060D0"/>
    <w:rsid w:val="00B07C76"/>
    <w:rsid w:val="00B11FC0"/>
    <w:rsid w:val="00B12B0D"/>
    <w:rsid w:val="00B203DB"/>
    <w:rsid w:val="00B20D0E"/>
    <w:rsid w:val="00B21133"/>
    <w:rsid w:val="00B3363D"/>
    <w:rsid w:val="00B404DB"/>
    <w:rsid w:val="00B40645"/>
    <w:rsid w:val="00B4167C"/>
    <w:rsid w:val="00B43FD8"/>
    <w:rsid w:val="00B443B2"/>
    <w:rsid w:val="00B53CD2"/>
    <w:rsid w:val="00B62EA8"/>
    <w:rsid w:val="00B6513E"/>
    <w:rsid w:val="00B71FAC"/>
    <w:rsid w:val="00B7270B"/>
    <w:rsid w:val="00B77A86"/>
    <w:rsid w:val="00B80544"/>
    <w:rsid w:val="00B81B58"/>
    <w:rsid w:val="00B82555"/>
    <w:rsid w:val="00B836A8"/>
    <w:rsid w:val="00B84BAA"/>
    <w:rsid w:val="00BA4A75"/>
    <w:rsid w:val="00BC1A81"/>
    <w:rsid w:val="00BC43F8"/>
    <w:rsid w:val="00BC74AE"/>
    <w:rsid w:val="00BE154B"/>
    <w:rsid w:val="00BE3062"/>
    <w:rsid w:val="00BE38A4"/>
    <w:rsid w:val="00BE4D66"/>
    <w:rsid w:val="00BE67BA"/>
    <w:rsid w:val="00BF28D4"/>
    <w:rsid w:val="00BF4384"/>
    <w:rsid w:val="00BF4752"/>
    <w:rsid w:val="00C0054B"/>
    <w:rsid w:val="00C00D1B"/>
    <w:rsid w:val="00C05E42"/>
    <w:rsid w:val="00C06224"/>
    <w:rsid w:val="00C10035"/>
    <w:rsid w:val="00C11A8A"/>
    <w:rsid w:val="00C13C1C"/>
    <w:rsid w:val="00C14C7D"/>
    <w:rsid w:val="00C14DDE"/>
    <w:rsid w:val="00C15CA8"/>
    <w:rsid w:val="00C1689C"/>
    <w:rsid w:val="00C17174"/>
    <w:rsid w:val="00C24DC3"/>
    <w:rsid w:val="00C24EF6"/>
    <w:rsid w:val="00C258BE"/>
    <w:rsid w:val="00C30003"/>
    <w:rsid w:val="00C302C7"/>
    <w:rsid w:val="00C33B05"/>
    <w:rsid w:val="00C363E4"/>
    <w:rsid w:val="00C44BEB"/>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35F40"/>
    <w:rsid w:val="00D41761"/>
    <w:rsid w:val="00D42C72"/>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F732A"/>
    <w:rsid w:val="00E00D7B"/>
    <w:rsid w:val="00E039D8"/>
    <w:rsid w:val="00E1397D"/>
    <w:rsid w:val="00E15FAC"/>
    <w:rsid w:val="00E1744E"/>
    <w:rsid w:val="00E17CAC"/>
    <w:rsid w:val="00E24AAB"/>
    <w:rsid w:val="00E2550F"/>
    <w:rsid w:val="00E3040F"/>
    <w:rsid w:val="00E34C12"/>
    <w:rsid w:val="00E42A8A"/>
    <w:rsid w:val="00E43F3C"/>
    <w:rsid w:val="00E45278"/>
    <w:rsid w:val="00E461BD"/>
    <w:rsid w:val="00E533F6"/>
    <w:rsid w:val="00E61D22"/>
    <w:rsid w:val="00E74518"/>
    <w:rsid w:val="00E75AF6"/>
    <w:rsid w:val="00E908C9"/>
    <w:rsid w:val="00E92481"/>
    <w:rsid w:val="00E96B49"/>
    <w:rsid w:val="00E96E11"/>
    <w:rsid w:val="00EA312B"/>
    <w:rsid w:val="00EA504E"/>
    <w:rsid w:val="00EA51B8"/>
    <w:rsid w:val="00EA7CFC"/>
    <w:rsid w:val="00EB5829"/>
    <w:rsid w:val="00EB7203"/>
    <w:rsid w:val="00EC5F04"/>
    <w:rsid w:val="00EC64EC"/>
    <w:rsid w:val="00EC78BF"/>
    <w:rsid w:val="00ED7A78"/>
    <w:rsid w:val="00EE16CF"/>
    <w:rsid w:val="00EE24B8"/>
    <w:rsid w:val="00EF07DF"/>
    <w:rsid w:val="00EF5242"/>
    <w:rsid w:val="00F03ADD"/>
    <w:rsid w:val="00F03C2D"/>
    <w:rsid w:val="00F0441B"/>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7DC4"/>
    <w:rsid w:val="00FA0186"/>
    <w:rsid w:val="00FA01F2"/>
    <w:rsid w:val="00FA13B7"/>
    <w:rsid w:val="00FA1F87"/>
    <w:rsid w:val="00FA1FFC"/>
    <w:rsid w:val="00FA2F9D"/>
    <w:rsid w:val="00FB0C26"/>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58401-517D-45BF-8888-4F3DC8999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713</Words>
  <Characters>4498</Characters>
  <Application>Microsoft Office Word</Application>
  <DocSecurity>0</DocSecurity>
  <Lines>37</Lines>
  <Paragraphs>10</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2021-09-16T13:46:00Z</dcterms:created>
  <dcterms:modified xsi:type="dcterms:W3CDTF">2021-10-10T08:42:00Z</dcterms:modified>
</cp:coreProperties>
</file>